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17"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45"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9"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32"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October 28, 2026</w:t>
      </w:r>
    </w:p>
    <w:p>
      <w:pPr>
        <w:spacing w:after="0" w:line="133"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Comfort Systems USA, Inc.</w:t>
      </w:r>
    </w:p>
    <w:p>
      <w:pPr>
        <w:spacing w:after="0" w:line="23"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308"/>
          </w:cols>
          <w:pgMar w:left="292" w:top="549" w:right="299" w:bottom="1440" w:gutter="0" w:footer="0" w:header="0"/>
        </w:sectPr>
      </w:pPr>
    </w:p>
    <w:p>
      <w:pPr>
        <w:spacing w:after="0" w:line="134" w:lineRule="exact"/>
        <w:rPr>
          <w:sz w:val="24"/>
          <w:szCs w:val="24"/>
          <w:color w:val="auto"/>
        </w:rPr>
      </w:pPr>
    </w:p>
    <w:p>
      <w:pPr>
        <w:ind w:left="1568"/>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168"/>
        <w:spacing w:after="0"/>
        <w:rPr>
          <w:sz w:val="20"/>
          <w:szCs w:val="20"/>
          <w:color w:val="auto"/>
        </w:rPr>
      </w:pPr>
      <w:r>
        <w:rPr>
          <w:rFonts w:ascii="Times New Roman" w:cs="Times New Roman" w:eastAsia="Times New Roman" w:hAnsi="Times New Roman"/>
          <w:sz w:val="12"/>
          <w:szCs w:val="12"/>
          <w:color w:val="auto"/>
        </w:rPr>
        <w:t>(State or other jurisdiction</w:t>
      </w:r>
    </w:p>
    <w:p>
      <w:pPr>
        <w:spacing w:after="0" w:line="6" w:lineRule="exact"/>
        <w:rPr>
          <w:sz w:val="24"/>
          <w:szCs w:val="24"/>
          <w:color w:val="auto"/>
        </w:rPr>
      </w:pPr>
    </w:p>
    <w:p>
      <w:pPr>
        <w:ind w:left="1408"/>
        <w:spacing w:after="0"/>
        <w:rPr>
          <w:sz w:val="20"/>
          <w:szCs w:val="20"/>
          <w:color w:val="auto"/>
        </w:rPr>
      </w:pPr>
      <w:r>
        <w:rPr>
          <w:rFonts w:ascii="Times New Roman" w:cs="Times New Roman" w:eastAsia="Times New Roman" w:hAnsi="Times New Roman"/>
          <w:sz w:val="12"/>
          <w:szCs w:val="12"/>
          <w:color w:val="auto"/>
        </w:rPr>
        <w:t>of incorporation)</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2"/>
          <w:szCs w:val="12"/>
          <w:b w:val="1"/>
          <w:bCs w:val="1"/>
          <w:color w:val="auto"/>
        </w:rPr>
        <w:t>1-13011</w:t>
      </w:r>
    </w:p>
    <w:p>
      <w:pPr>
        <w:spacing w:after="0" w:line="2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2"/>
          <w:szCs w:val="12"/>
          <w:color w:val="auto"/>
        </w:rPr>
        <w:t>(Commission</w:t>
      </w:r>
    </w:p>
    <w:p>
      <w:pPr>
        <w:spacing w:after="0" w:line="6"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2"/>
          <w:szCs w:val="12"/>
          <w:color w:val="auto"/>
        </w:rPr>
        <w:t>File Number)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b w:val="1"/>
          <w:bCs w:val="1"/>
          <w:color w:val="auto"/>
        </w:rPr>
        <w:t>76-0526487</w:t>
      </w:r>
    </w:p>
    <w:p>
      <w:pPr>
        <w:spacing w:after="0" w:line="2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35" w:lineRule="exact"/>
        <w:rPr>
          <w:sz w:val="24"/>
          <w:szCs w:val="24"/>
          <w:color w:val="auto"/>
        </w:rPr>
      </w:pPr>
    </w:p>
    <w:p>
      <w:pPr>
        <w:sectPr>
          <w:pgSz w:w="11900" w:h="16838" w:orient="portrait"/>
          <w:cols w:equalWidth="0" w:num="3">
            <w:col w:w="4608" w:space="720"/>
            <w:col w:w="3000" w:space="720"/>
            <w:col w:w="2260"/>
          </w:cols>
          <w:pgMar w:left="292" w:top="549" w:right="299" w:bottom="1440" w:gutter="0" w:footer="0" w:header="0"/>
          <w:type w:val="continuous"/>
        </w:sectPr>
      </w:pPr>
    </w:p>
    <w:p>
      <w:pPr>
        <w:ind w:left="2008"/>
        <w:spacing w:after="0"/>
        <w:rPr>
          <w:sz w:val="20"/>
          <w:szCs w:val="20"/>
          <w:color w:val="auto"/>
        </w:rPr>
      </w:pPr>
      <w:r>
        <w:rPr>
          <w:rFonts w:ascii="Times New Roman" w:cs="Times New Roman" w:eastAsia="Times New Roman" w:hAnsi="Times New Roman"/>
          <w:sz w:val="11"/>
          <w:szCs w:val="11"/>
          <w:b w:val="1"/>
          <w:bCs w:val="1"/>
          <w:color w:val="auto"/>
        </w:rPr>
        <w:t>9753 Katy Freeway, Suite 700</w:t>
      </w:r>
    </w:p>
    <w:p>
      <w:pPr>
        <w:sectPr>
          <w:pgSz w:w="11900" w:h="16838" w:orient="portrait"/>
          <w:cols w:equalWidth="0" w:num="1">
            <w:col w:w="11308"/>
          </w:cols>
          <w:pgMar w:left="292" w:top="549" w:right="299" w:bottom="1440" w:gutter="0" w:footer="0" w:header="0"/>
          <w:type w:val="continuous"/>
        </w:sectPr>
      </w:pPr>
    </w:p>
    <w:p>
      <w:pPr>
        <w:spacing w:after="0" w:line="32" w:lineRule="exact"/>
        <w:rPr>
          <w:sz w:val="24"/>
          <w:szCs w:val="24"/>
          <w:color w:val="auto"/>
        </w:rPr>
      </w:pPr>
    </w:p>
    <w:p>
      <w:pPr>
        <w:ind w:left="2388"/>
        <w:spacing w:after="0"/>
        <w:rPr>
          <w:sz w:val="20"/>
          <w:szCs w:val="20"/>
          <w:color w:val="auto"/>
        </w:rPr>
      </w:pPr>
      <w:r>
        <w:rPr>
          <w:rFonts w:ascii="Times New Roman" w:cs="Times New Roman" w:eastAsia="Times New Roman" w:hAnsi="Times New Roman"/>
          <w:sz w:val="11"/>
          <w:szCs w:val="11"/>
          <w:b w:val="1"/>
          <w:bCs w:val="1"/>
          <w:color w:val="auto"/>
        </w:rPr>
        <w:t>Houston, Texas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77024</w:t>
      </w:r>
    </w:p>
    <w:p>
      <w:pPr>
        <w:spacing w:after="0" w:line="6" w:lineRule="exact"/>
        <w:rPr>
          <w:sz w:val="24"/>
          <w:szCs w:val="24"/>
          <w:color w:val="auto"/>
        </w:rPr>
      </w:pPr>
    </w:p>
    <w:p>
      <w:pPr>
        <w:sectPr>
          <w:pgSz w:w="11900" w:h="16838" w:orient="portrait"/>
          <w:cols w:equalWidth="0" w:num="2">
            <w:col w:w="7668" w:space="720"/>
            <w:col w:w="2920"/>
          </w:cols>
          <w:pgMar w:left="292" w:top="549" w:right="299" w:bottom="1440" w:gutter="0" w:footer="0" w:header="0"/>
          <w:type w:val="continuous"/>
        </w:sectPr>
      </w:pPr>
    </w:p>
    <w:p>
      <w:pPr>
        <w:ind w:left="1828"/>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4"/>
          <w:szCs w:val="24"/>
          <w:color w:val="auto"/>
        </w:rPr>
      </w:pPr>
    </w:p>
    <w:p>
      <w:pPr>
        <w:sectPr>
          <w:pgSz w:w="11900" w:h="16838" w:orient="portrait"/>
          <w:cols w:equalWidth="0" w:num="2">
            <w:col w:w="7548" w:space="720"/>
            <w:col w:w="3040"/>
          </w:cols>
          <w:pgMar w:left="292" w:top="549" w:right="299" w:bottom="1440" w:gutter="0" w:footer="0" w:header="0"/>
          <w:type w:val="continuous"/>
        </w:sectPr>
      </w:pPr>
    </w:p>
    <w:p>
      <w:pPr>
        <w:jc w:val="center"/>
        <w:ind w:right="-67"/>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(713) 830-9600</w:t>
      </w:r>
    </w:p>
    <w:p>
      <w:pPr>
        <w:spacing w:after="0" w:line="166" w:lineRule="exact"/>
        <w:rPr>
          <w:sz w:val="24"/>
          <w:szCs w:val="24"/>
          <w:color w:val="auto"/>
        </w:rPr>
      </w:pPr>
    </w:p>
    <w:p>
      <w:pPr>
        <w:jc w:val="center"/>
        <w:ind w:right="-67"/>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ectPr>
          <w:pgSz w:w="11900" w:h="16838" w:orient="portrait"/>
          <w:cols w:equalWidth="0" w:num="1">
            <w:col w:w="11308"/>
          </w:cols>
          <w:pgMar w:left="292" w:top="549" w:right="299" w:bottom="1440" w:gutter="0" w:footer="0" w:header="0"/>
          <w:type w:val="continuous"/>
        </w:sectPr>
      </w:pPr>
    </w:p>
    <w:p>
      <w:pPr>
        <w:spacing w:after="0" w:line="15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128" w:hanging="128"/>
        <w:spacing w:after="0"/>
        <w:tabs>
          <w:tab w:leader="none" w:pos="1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3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28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8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53"/>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$0.01 par value</w:t>
            </w:r>
          </w:p>
        </w:tc>
        <w:tc>
          <w:tcPr>
            <w:tcW w:w="240" w:type="dxa"/>
            <w:vAlign w:val="bottom"/>
          </w:tcPr>
          <w:p>
            <w:pPr>
              <w:spacing w:after="0"/>
              <w:rPr>
                <w:sz w:val="13"/>
                <w:szCs w:val="13"/>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2"/>
              </w:rPr>
              <w:t>FIX</w:t>
            </w:r>
          </w:p>
        </w:tc>
        <w:tc>
          <w:tcPr>
            <w:tcW w:w="220" w:type="dxa"/>
            <w:vAlign w:val="bottom"/>
          </w:tcPr>
          <w:p>
            <w:pPr>
              <w:spacing w:after="0"/>
              <w:rPr>
                <w:sz w:val="13"/>
                <w:szCs w:val="13"/>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bl>
    <w:p>
      <w:pPr>
        <w:spacing w:after="0" w:line="122" w:lineRule="exact"/>
        <w:rPr>
          <w:sz w:val="24"/>
          <w:szCs w:val="24"/>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jc w:val="both"/>
        <w:ind w:left="8"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292100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49"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On October 28, 2026, Comfort Systems USA, Inc., a Delaware corporation (the “Company”), a leading provider of commercial, industrial and institutional heating, ventilation, air conditioning and electrical contracting services, posted to the “Investors” section of its website (https://comfortsystemsusa.com) an investor presentation slideshow. The Company intends to use this slideshow in making presentations to analysts, potential investors, and other interested parties.</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information included in the investor presentation includes financial information determined by methods other than in accordance with accounting principles generally accepted in the United States of America (“GAAP”). The Company’s management uses these non-GAAP measures in its analysis of the Company’s performance. The Company believes that the presentation of certain non-GAAP measures provides useful supplemental information that is essential to a proper understanding of the operating results of the Company’s core businesses. These non-GAAP disclosures should not be viewed as a substitute for operating results determined in accordance with GAAP, nor are they necessarily comparable to non-GAAP performance measures that may be presented by other companies.</w:t>
      </w:r>
    </w:p>
    <w:p>
      <w:pPr>
        <w:spacing w:after="0" w:line="12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 information in this Form 8-K being furnished under Item 7.01 shall not be deemed to be “filed” for the purposes of Section 18 of the Securities Exchange Act of 1934, as amended (the “Exchange Act”), or otherwise subject to the liabilities of such section, nor shall such information be deemed incorporated by reference in any filing under the Securities Act of 1933, as amended, or the Exchange Act, except as shall be expressly set forth by specific reference in such a filing. The investor presentation contains forward-looking statements within the meaning of applicable securities laws and regulations. These statements are based on the Company’s expectations and involve risks and uncertainties that could cause the Company’s actual results to differ materially from those set forth in the statements. These risks are discussed in the Company’s filings with the Securities and Exchange Commission, including an extensive discussion of these risks in the Company’s Annual Report on Form 10-K for the year ended December 31, 2025.</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 copy of the presentation is furnished herewith as Exhibit 99.1.</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40" w:type="dxa"/>
            <w:vAlign w:val="bottom"/>
          </w:tcPr>
          <w:p>
            <w:pPr>
              <w:spacing w:after="0"/>
              <w:rPr>
                <w:sz w:val="20"/>
                <w:szCs w:val="20"/>
                <w:color w:val="auto"/>
              </w:rPr>
            </w:pPr>
            <w:r>
              <w:rPr>
                <w:rFonts w:ascii="Times New Roman" w:cs="Times New Roman" w:eastAsia="Times New Roman" w:hAnsi="Times New Roman"/>
                <w:sz w:val="12"/>
                <w:szCs w:val="12"/>
                <w:color w:val="auto"/>
              </w:rPr>
              <w:t>(d)</w:t>
            </w:r>
          </w:p>
        </w:tc>
        <w:tc>
          <w:tcPr>
            <w:tcW w:w="1000" w:type="dxa"/>
            <w:vAlign w:val="bottom"/>
            <w:gridSpan w:val="4"/>
          </w:tcPr>
          <w:p>
            <w:pPr>
              <w:jc w:val="center"/>
              <w:ind w:right="380"/>
              <w:spacing w:after="0"/>
              <w:rPr>
                <w:sz w:val="20"/>
                <w:szCs w:val="20"/>
                <w:color w:val="auto"/>
              </w:rPr>
            </w:pPr>
            <w:r>
              <w:rPr>
                <w:rFonts w:ascii="Times New Roman" w:cs="Times New Roman" w:eastAsia="Times New Roman" w:hAnsi="Times New Roman"/>
                <w:sz w:val="12"/>
                <w:szCs w:val="12"/>
                <w:i w:val="1"/>
                <w:iCs w:val="1"/>
                <w:color w:val="auto"/>
                <w:w w:val="99"/>
              </w:rPr>
              <w:t>Exhibits.</w:t>
            </w:r>
          </w:p>
        </w:tc>
        <w:tc>
          <w:tcPr>
            <w:tcW w:w="2160" w:type="dxa"/>
            <w:vAlign w:val="bottom"/>
          </w:tcPr>
          <w:p>
            <w:pPr>
              <w:spacing w:after="0"/>
              <w:rPr>
                <w:sz w:val="13"/>
                <w:szCs w:val="13"/>
                <w:color w:val="auto"/>
              </w:rPr>
            </w:pPr>
          </w:p>
        </w:tc>
        <w:tc>
          <w:tcPr>
            <w:tcW w:w="7900" w:type="dxa"/>
            <w:vAlign w:val="bottom"/>
          </w:tcPr>
          <w:p>
            <w:pPr>
              <w:spacing w:after="0"/>
              <w:rPr>
                <w:sz w:val="13"/>
                <w:szCs w:val="13"/>
                <w:color w:val="auto"/>
              </w:rPr>
            </w:pPr>
          </w:p>
        </w:tc>
      </w:tr>
      <w:tr>
        <w:trPr>
          <w:trHeight w:val="273"/>
        </w:trPr>
        <w:tc>
          <w:tcPr>
            <w:tcW w:w="240" w:type="dxa"/>
            <w:vAlign w:val="bottom"/>
          </w:tcPr>
          <w:p>
            <w:pPr>
              <w:spacing w:after="0"/>
              <w:rPr>
                <w:sz w:val="23"/>
                <w:szCs w:val="23"/>
                <w:color w:val="auto"/>
              </w:rPr>
            </w:pPr>
          </w:p>
        </w:tc>
        <w:tc>
          <w:tcPr>
            <w:tcW w:w="1000" w:type="dxa"/>
            <w:vAlign w:val="bottom"/>
            <w:gridSpan w:val="4"/>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2160" w:type="dxa"/>
            <w:vAlign w:val="bottom"/>
          </w:tcPr>
          <w:p>
            <w:pPr>
              <w:spacing w:after="0"/>
              <w:rPr>
                <w:sz w:val="23"/>
                <w:szCs w:val="23"/>
                <w:color w:val="auto"/>
              </w:rPr>
            </w:pPr>
          </w:p>
        </w:tc>
        <w:tc>
          <w:tcPr>
            <w:tcW w:w="7900" w:type="dxa"/>
            <w:vAlign w:val="bottom"/>
          </w:tcPr>
          <w:p>
            <w:pPr>
              <w:spacing w:after="0"/>
              <w:rPr>
                <w:sz w:val="23"/>
                <w:szCs w:val="23"/>
                <w:color w:val="auto"/>
              </w:rPr>
            </w:pPr>
          </w:p>
        </w:tc>
      </w:tr>
      <w:tr>
        <w:trPr>
          <w:trHeight w:val="159"/>
        </w:trPr>
        <w:tc>
          <w:tcPr>
            <w:tcW w:w="240" w:type="dxa"/>
            <w:vAlign w:val="bottom"/>
          </w:tcPr>
          <w:p>
            <w:pPr>
              <w:spacing w:after="0"/>
              <w:rPr>
                <w:sz w:val="13"/>
                <w:szCs w:val="13"/>
                <w:color w:val="auto"/>
              </w:rPr>
            </w:pPr>
          </w:p>
        </w:tc>
        <w:tc>
          <w:tcPr>
            <w:tcW w:w="1000" w:type="dxa"/>
            <w:vAlign w:val="bottom"/>
            <w:gridSpan w:val="4"/>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00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50"/>
        </w:trPr>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120" w:type="dxa"/>
            <w:vAlign w:val="bottom"/>
          </w:tcPr>
          <w:p>
            <w:pPr>
              <w:spacing w:after="0"/>
              <w:rPr>
                <w:sz w:val="21"/>
                <w:szCs w:val="21"/>
                <w:color w:val="auto"/>
              </w:rPr>
            </w:pPr>
          </w:p>
        </w:tc>
        <w:tc>
          <w:tcPr>
            <w:tcW w:w="100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0000EE"/>
              </w:rPr>
              <w:t>Investor presentation dated October 28, 2026</w:t>
            </w:r>
          </w:p>
        </w:tc>
      </w:tr>
      <w:tr>
        <w:trPr>
          <w:trHeight w:val="20"/>
        </w:trPr>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151"/>
        </w:trPr>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8"/>
              </w:rPr>
              <w:t>104</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(the cover page XBRL tags are embedded within the Inline XBRL document).</w:t>
            </w:r>
          </w:p>
        </w:tc>
      </w:tr>
      <w:tr>
        <w:trPr>
          <w:trHeight w:val="288"/>
        </w:trPr>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ind w:left="5200"/>
        <w:spacing w:after="0"/>
        <w:rPr>
          <w:sz w:val="20"/>
          <w:szCs w:val="20"/>
          <w:color w:val="auto"/>
        </w:rPr>
      </w:pPr>
      <w:r>
        <w:rPr>
          <w:rFonts w:ascii="Times New Roman" w:cs="Times New Roman" w:eastAsia="Times New Roman" w:hAnsi="Times New Roman"/>
          <w:sz w:val="12"/>
          <w:szCs w:val="12"/>
          <w:u w:val="single" w:color="auto"/>
          <w:color w:val="auto"/>
        </w:rPr>
        <w:t>SIGNATURES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COMFORT SYSTEMS USA, INC.</w:t>
      </w:r>
    </w:p>
    <w:p>
      <w:pPr>
        <w:spacing w:after="0" w:line="150" w:lineRule="exact"/>
        <w:rPr>
          <w:sz w:val="20"/>
          <w:szCs w:val="20"/>
          <w:color w:val="auto"/>
        </w:rPr>
      </w:pPr>
    </w:p>
    <w:p>
      <w:pPr>
        <w:ind w:left="5660"/>
        <w:spacing w:after="0"/>
        <w:tabs>
          <w:tab w:leader="none" w:pos="5960" w:val="left"/>
        </w:tabs>
        <w:rPr>
          <w:sz w:val="20"/>
          <w:szCs w:val="20"/>
          <w:color w:val="auto"/>
        </w:rPr>
      </w:pPr>
      <w:r>
        <w:rPr>
          <w:rFonts w:ascii="Times New Roman" w:cs="Times New Roman" w:eastAsia="Times New Roman" w:hAnsi="Times New Roman"/>
          <w:sz w:val="12"/>
          <w:szCs w:val="12"/>
          <w:color w:val="auto"/>
        </w:rPr>
        <w:t>By:</w:t>
        <w:tab/>
        <w:t>/s/ Rachel R. Eslicker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10795</wp:posOffset>
            </wp:positionV>
            <wp:extent cx="33718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2"/>
          <w:szCs w:val="12"/>
          <w:color w:val="auto"/>
        </w:rPr>
        <w:t>Rachel R. Eslicker</w:t>
      </w:r>
    </w:p>
    <w:p>
      <w:pPr>
        <w:spacing w:after="0" w:line="1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i w:val="1"/>
          <w:iCs w:val="1"/>
          <w:color w:val="auto"/>
        </w:rPr>
        <w:t>Senior Vice President and General Counsel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October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193675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51" w:right="1440" w:bottom="1440" w:gutter="0" w:footer="0" w:header="0"/>
        </w:sectPr>
      </w:pPr>
    </w:p>
    <w:bookmarkStart w:id="3" w:name="page4"/>
    <w:bookmarkEnd w:id="3"/>
    <w:p>
      <w:pPr>
        <w:ind w:left="9420"/>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5920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8680" cy="5920740"/>
                    </a:xfrm>
                    <a:prstGeom prst="rect">
                      <a:avLst/>
                    </a:prstGeom>
                    <a:noFill/>
                  </pic:spPr>
                </pic:pic>
              </a:graphicData>
            </a:graphic>
          </wp:anchor>
        </w:drawing>
      </w:r>
    </w:p>
    <w:p>
      <w:pPr>
        <w:sectPr>
          <w:pgSz w:w="11900" w:h="16838" w:orient="portrait"/>
          <w:cols w:equalWidth="0" w:num="1">
            <w:col w:w="10160"/>
          </w:cols>
          <w:pgMar w:left="1440" w:top="281"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9321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8680" cy="5932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920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8680" cy="5920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920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8680" cy="5920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920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5920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920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5920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920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5920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920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5920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920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5920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920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5920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920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5920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920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5920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920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5920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920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5920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920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5920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920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5920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920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5920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920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5920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920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5920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920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5920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920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59207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2026-10-28T15:06:01Z</dcterms:created>
  <dcterms:modified xsi:type="dcterms:W3CDTF">2026-10-28T15:06:01Z</dcterms:modified>
</cp:coreProperties>
</file>