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ix-20260930x10q.htm"/>
        <w:bookmarkStart w:id="1" w:name="ksfix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a8cef9b1_2c90_4681_bcc4_31184faadb8b"/>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Normal"/>
        <w:bidi w:val="0"/>
        <w:spacing w:before="0" w:after="0"/>
        <w:jc w:val="left"/>
        <w:rPr>
          <w:sz w:val="4"/>
          <w:szCs w:val="4"/>
        </w:rPr>
      </w:pPr>
      <w:r>
        <w:rPr>
          <w:sz w:val="4"/>
          <w:szCs w:val="4"/>
        </w:rPr>
      </w:r>
      <w:bookmarkStart w:id="3" w:name="Tc_s3xKoFK6qk-jsdW1nb1v5Q_2_1"/>
      <w:bookmarkStart w:id="4" w:name="Tc_-xhgshOFfkCB_PLnjbxTrQ_1_0"/>
      <w:bookmarkStart w:id="5" w:name="_3b5e803e_17a0_4c2e_a0b8_9ae281f0b050"/>
      <w:bookmarkStart w:id="6" w:name="Tc_s3xKoFK6qk-jsdW1nb1v5Q_2_1"/>
      <w:bookmarkStart w:id="7" w:name="Tc_-xhgshOFfkCB_PLnjbxTrQ_1_0"/>
      <w:bookmarkStart w:id="8" w:name="_3b5e803e_17a0_4c2e_a0b8_9ae281f0b050"/>
      <w:bookmarkEnd w:id="6"/>
      <w:bookmarkEnd w:id="7"/>
      <w:bookmarkEnd w:id="8"/>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9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803900" cy="175260"/>
                      <wp:effectExtent l="0" t="0" r="0" b="0"/>
                      <wp:wrapNone/>
                      <wp:docPr id="1" name="Frame1"/>
                      <a:graphic xmlns:a="http://schemas.openxmlformats.org/drawingml/2006/main">
                        <a:graphicData uri="http://schemas.microsoft.com/office/word/2010/wordprocessingShape">
                          <wps:wsp>
                            <wps:cNvSpPr txBox="1"/>
                            <wps:spPr>
                              <a:xfrm>
                                <a:off x="0" y="0"/>
                                <a:ext cx="580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tDQmrutW7UKC5IX8DrLSBg_2_0"/>
      <w:bookmarkStart w:id="10" w:name="Tc_TUIyAhiIP0OftnaN4uQwig_1_1"/>
      <w:bookmarkStart w:id="11" w:name="_a0ad65ca_4bc6_4a2a_a093_e4d3389ed370"/>
      <w:bookmarkStart w:id="12" w:name="Tc_tDQmrutW7UKC5IX8DrLSBg_2_0"/>
      <w:bookmarkStart w:id="13" w:name="Tc_TUIyAhiIP0OftnaN4uQwig_1_1"/>
      <w:bookmarkStart w:id="14" w:name="_a0ad65ca_4bc6_4a2a_a093_e4d3389ed370"/>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pBdr/>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6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1-13011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COMFORT SYSTEMS USA,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4335" w:type="dxa"/>
        <w:jc w:val="left"/>
        <w:tblInd w:w="0" w:type="dxa"/>
        <w:tblLayout w:type="fixed"/>
        <w:tblCellMar>
          <w:top w:w="0" w:type="dxa"/>
          <w:left w:w="0" w:type="dxa"/>
          <w:bottom w:w="0" w:type="dxa"/>
          <w:right w:w="0" w:type="dxa"/>
        </w:tblCellMar>
      </w:tblPr>
      <w:tblGrid>
        <w:gridCol w:w="2656"/>
        <w:gridCol w:w="1679"/>
      </w:tblGrid>
      <w:tr>
        <w:trPr/>
        <w:tc>
          <w:tcPr>
            <w:tcW w:w="265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16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76-0526487</w:t>
            </w:r>
            <w:r>
              <w:rPr>
                <w:rFonts w:ascii="Times New Roman;Times;serif" w:hAnsi="Times New Roman;Times;serif"/>
                <w:sz w:val="20"/>
              </w:rPr>
              <w:br/>
              <w:t>(I.R.S. Employer</w:t>
              <w:br/>
              <w:t>Identification No.)</w:t>
            </w:r>
          </w:p>
        </w:tc>
      </w:tr>
      <w:tr>
        <w:trPr/>
        <w:tc>
          <w:tcPr>
            <w:tcW w:w="4335" w:type="dxa"/>
            <w:gridSpan w:val="2"/>
            <w:tcBorders/>
            <w:vAlign w:val="center"/>
          </w:tcPr>
          <w:p>
            <w:pPr>
              <w:pStyle w:val="TableContents"/>
              <w:pBdr/>
              <w:bidi w:val="0"/>
              <w:spacing w:before="0" w:after="0"/>
              <w:ind w:left="0" w:right="0" w:hanging="200"/>
              <w:jc w:val="center"/>
              <w:rPr>
                <w:rFonts w:ascii="Times New Roman;Times;serif" w:hAnsi="Times New Roman;Times;serif"/>
                <w:sz w:val="20"/>
              </w:rPr>
            </w:pPr>
            <w:r>
              <w:rPr>
                <w:rFonts w:ascii="Times New Roman;Times;serif" w:hAnsi="Times New Roman;Times;serif"/>
                <w:b/>
                <w:sz w:val="20"/>
              </w:rPr>
              <w:t>9753 Katy Freeway</w:t>
              <w:br/>
              <w:t>Suite 700</w:t>
              <w:br/>
              <w:t>Houston, Texas</w:t>
            </w:r>
            <w:r>
              <w:rPr>
                <w:rFonts w:ascii="Times New Roman;Times;serif" w:hAnsi="Times New Roman;Times;serif"/>
                <w:sz w:val="20"/>
              </w:rPr>
              <w:t xml:space="preserve"> </w:t>
            </w:r>
            <w:r>
              <w:rPr>
                <w:rFonts w:ascii="Times New Roman;Times;serif" w:hAnsi="Times New Roman;Times;serif"/>
                <w:b/>
                <w:sz w:val="20"/>
              </w:rPr>
              <w:t>77024</w:t>
              <w:br/>
            </w:r>
            <w:r>
              <w:rPr>
                <w:rFonts w:ascii="Times New Roman;Times;serif" w:hAnsi="Times New Roman;Times;serif"/>
                <w:sz w:val="20"/>
              </w:rPr>
              <w:t>(Address of Principal Executive Offices) (Zip Code)</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(713) 830-9600</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0_01rVwZzkqgaTowvxunQQ_1_2"/>
      <w:bookmarkStart w:id="16" w:name="Tc_Rav8A5nM_kizlFBixzJRRw_1_1"/>
      <w:bookmarkStart w:id="17" w:name="Tc_-y_dVs1eVkKE-l5HmPt_wg_1_0"/>
      <w:bookmarkStart w:id="18" w:name="_47ebd5c6_bfb7_433e_a007_2c70d8ac1a9e"/>
      <w:bookmarkStart w:id="19" w:name="Tc_0_01rVwZzkqgaTowvxunQQ_1_2"/>
      <w:bookmarkStart w:id="20" w:name="Tc_Rav8A5nM_kizlFBixzJRRw_1_1"/>
      <w:bookmarkStart w:id="21" w:name="Tc_-y_dVs1eVkKE-l5HmPt_wg_1_0"/>
      <w:bookmarkStart w:id="22" w:name="_47ebd5c6_bfb7_433e_a007_2c70d8ac1a9e"/>
      <w:bookmarkEnd w:id="19"/>
      <w:bookmarkEnd w:id="20"/>
      <w:bookmarkEnd w:id="21"/>
      <w:bookmarkEnd w:id="22"/>
    </w:p>
    <w:tbl>
      <w:tblPr>
        <w:tblW w:w="8253" w:type="dxa"/>
        <w:jc w:val="left"/>
        <w:tblInd w:w="0" w:type="dxa"/>
        <w:tblLayout w:type="fixed"/>
        <w:tblCellMar>
          <w:top w:w="0" w:type="dxa"/>
          <w:left w:w="0" w:type="dxa"/>
          <w:bottom w:w="0" w:type="dxa"/>
          <w:right w:w="0" w:type="dxa"/>
        </w:tblCellMar>
      </w:tblPr>
      <w:tblGrid>
        <w:gridCol w:w="2731"/>
        <w:gridCol w:w="1696"/>
        <w:gridCol w:w="38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55" w:type="dxa"/>
        <w:jc w:val="left"/>
        <w:tblInd w:w="0" w:type="dxa"/>
        <w:tblLayout w:type="fixed"/>
        <w:tblCellMar>
          <w:top w:w="0" w:type="dxa"/>
          <w:left w:w="0" w:type="dxa"/>
          <w:bottom w:w="0" w:type="dxa"/>
          <w:right w:w="0" w:type="dxa"/>
        </w:tblCellMar>
      </w:tblPr>
      <w:tblGrid>
        <w:gridCol w:w="1846"/>
        <w:gridCol w:w="1471"/>
        <w:gridCol w:w="1786"/>
        <w:gridCol w:w="2296"/>
        <w:gridCol w:w="2356"/>
      </w:tblGrid>
      <w:tr>
        <w:trPr/>
        <w:tc>
          <w:tcPr>
            <w:tcW w:w="18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r>
        <w:trPr/>
        <w:tc>
          <w:tcPr>
            <w:tcW w:w="1846" w:type="dxa"/>
            <w:tcBorders/>
            <w:vAlign w:val="center"/>
          </w:tcPr>
          <w:p>
            <w:pPr>
              <w:pStyle w:val="TableContents"/>
              <w:pBdr/>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86" w:type="dxa"/>
            <w:tcBorders/>
            <w:vAlign w:val="center"/>
          </w:tcPr>
          <w:p>
            <w:pPr>
              <w:pStyle w:val="TableContents"/>
              <w:bidi w:val="0"/>
              <w:spacing w:before="0" w:after="0"/>
              <w:ind w:left="0" w:right="0" w:hanging="0"/>
              <w:jc w:val="center"/>
              <w:rPr/>
            </w:pPr>
            <w:r>
              <w:rPr/>
              <w:t>​</w:t>
            </w:r>
          </w:p>
        </w:tc>
        <w:tc>
          <w:tcPr>
            <w:tcW w:w="2296"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pPr>
            <w:r>
              <w:rPr/>
              <w:t>​</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Exchange Act Rule 12b-2).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shares outstanding of the issuer’s common stock as of October 16, 2026 was 34,985,904 (excluding treasury shares of 6,137,461).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_fae112eb_d511_4491_9279_93aae958397d"/>
      <w:bookmarkEnd w:id="23"/>
      <w:r>
        <w:rPr>
          <w:rFonts w:ascii="Times New Roman;Times;serif" w:hAnsi="Times New Roman;Times;serif"/>
          <w:b/>
          <w:sz w:val="20"/>
        </w:rPr>
        <w:t>COMFORT SYSTEMS USA, INC.</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 TO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2026</w:t>
      </w:r>
    </w:p>
    <w:p>
      <w:pPr>
        <w:pStyle w:val="TextBody"/>
        <w:bidi w:val="0"/>
        <w:spacing w:before="0" w:after="0"/>
        <w:ind w:left="0" w:right="0" w:hanging="0"/>
        <w:jc w:val="left"/>
        <w:rPr/>
      </w:pPr>
      <w:r>
        <w:rPr/>
        <w:t>​</w:t>
      </w:r>
    </w:p>
    <w:tbl>
      <w:tblPr>
        <w:tblW w:w="8943" w:type="dxa"/>
        <w:jc w:val="left"/>
        <w:tblInd w:w="0" w:type="dxa"/>
        <w:tblLayout w:type="fixed"/>
        <w:tblCellMar>
          <w:top w:w="0" w:type="dxa"/>
          <w:left w:w="0" w:type="dxa"/>
          <w:bottom w:w="0" w:type="dxa"/>
          <w:right w:w="0" w:type="dxa"/>
        </w:tblCellMar>
      </w:tblPr>
      <w:tblGrid>
        <w:gridCol w:w="8086"/>
        <w:gridCol w:w="346"/>
        <w:gridCol w:w="511"/>
      </w:tblGrid>
      <w:tr>
        <w:trPr/>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34610" cy="175260"/>
                      <wp:effectExtent l="0" t="0" r="0" b="0"/>
                      <wp:wrapNone/>
                      <wp:docPr id="2" name="Frame2"/>
                      <a:graphic xmlns:a="http://schemas.openxmlformats.org/drawingml/2006/main">
                        <a:graphicData uri="http://schemas.microsoft.com/office/word/2010/wordprocessingShape">
                          <wps:wsp>
                            <wps:cNvSpPr txBox="1"/>
                            <wps:spPr>
                              <a:xfrm>
                                <a:off x="0" y="0"/>
                                <a:ext cx="513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29210"/>
                      <wp:effectExtent l="0" t="0" r="0" b="0"/>
                      <wp:wrapNone/>
                      <wp:docPr id="3" name="Frame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86" w:type="dxa"/>
            <w:tcBorders/>
            <w:vAlign w:val="center"/>
          </w:tcPr>
          <w:p>
            <w:pPr>
              <w:pStyle w:val="TableContents"/>
              <w:bidi w:val="0"/>
              <w:spacing w:lineRule="auto" w:line="304" w:before="0" w:after="20"/>
              <w:ind w:left="0" w:right="0" w:hanging="0"/>
              <w:jc w:val="left"/>
              <w:rPr/>
            </w:pPr>
            <w:r>
              <w:rPr/>
              <w:t>​</w:t>
            </w:r>
          </w:p>
        </w:tc>
        <w:tc>
          <w:tcPr>
            <w:tcW w:w="346" w:type="dxa"/>
            <w:tcBorders/>
            <w:vAlign w:val="center"/>
          </w:tcPr>
          <w:p>
            <w:pPr>
              <w:pStyle w:val="TableContents"/>
              <w:bidi w:val="0"/>
              <w:spacing w:lineRule="auto" w:line="304" w:before="0" w:after="2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086" w:type="dxa"/>
            <w:tcBorders/>
            <w:vAlign w:val="center"/>
          </w:tcPr>
          <w:p>
            <w:pPr>
              <w:pStyle w:val="TableContents"/>
              <w:pBdr/>
              <w:bidi w:val="0"/>
              <w:spacing w:lineRule="auto" w:line="304" w:before="0" w:after="0"/>
              <w:ind w:left="0" w:right="0" w:hanging="0"/>
              <w:jc w:val="left"/>
              <w:rPr/>
            </w:pPr>
            <w:hyperlink w:anchor="PARTIFINANCIALINFORMATION_22365">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Item1FinancialStatements_828498">
              <w:r>
                <w:rPr>
                  <w:rStyle w:val="InternetLink"/>
                  <w:rFonts w:ascii="Times New Roman;Times;serif" w:hAnsi="Times New Roman;Times;serif"/>
                  <w:b w:val="false"/>
                  <w:i w:val="false"/>
                  <w:caps w:val="false"/>
                  <w:smallCaps w:val="false"/>
                  <w:sz w:val="20"/>
                </w:rPr>
                <w:t>Item 1—Financial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BALANCESHEETS_635296">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OPERATIONS_54357">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086" w:type="dxa"/>
            <w:tcBorders/>
            <w:vAlign w:val="center"/>
          </w:tcPr>
          <w:p>
            <w:pPr>
              <w:pStyle w:val="TableContents"/>
              <w:pBdr/>
              <w:bidi w:val="0"/>
              <w:spacing w:lineRule="auto" w:line="304" w:before="0" w:after="0"/>
              <w:ind w:left="0" w:right="0" w:hanging="0"/>
              <w:jc w:val="left"/>
              <w:rPr/>
            </w:pPr>
            <w:hyperlink w:anchor="STATEMENTSOFSTOCKHOLDERSEQUITY_584218">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CASHFLOWS_486675">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86" w:type="dxa"/>
            <w:tcBorders/>
            <w:vAlign w:val="center"/>
          </w:tcPr>
          <w:p>
            <w:pPr>
              <w:pStyle w:val="TableContents"/>
              <w:pBdr/>
              <w:bidi w:val="0"/>
              <w:spacing w:lineRule="auto" w:line="304" w:before="0" w:after="0"/>
              <w:ind w:left="0" w:right="0" w:hanging="0"/>
              <w:jc w:val="left"/>
              <w:rPr/>
            </w:pPr>
            <w:hyperlink w:anchor="CONDENSEDNOTESTOCONSOLIDATEDFINANCIALSTA">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086" w:type="dxa"/>
            <w:tcBorders/>
            <w:vAlign w:val="center"/>
          </w:tcPr>
          <w:p>
            <w:pPr>
              <w:pStyle w:val="TableContents"/>
              <w:pBdr/>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2—Management’s Discussion and Analysis of Financial Condition and Results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086" w:type="dxa"/>
            <w:tcBorders/>
            <w:vAlign w:val="center"/>
          </w:tcPr>
          <w:p>
            <w:pPr>
              <w:pStyle w:val="TableContents"/>
              <w:pBdr/>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3—Quantitative and Qualitative Disclosures about Market Risk</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86" w:type="dxa"/>
            <w:tcBorders/>
            <w:vAlign w:val="center"/>
          </w:tcPr>
          <w:p>
            <w:pPr>
              <w:pStyle w:val="TableContents"/>
              <w:pBdr/>
              <w:bidi w:val="0"/>
              <w:spacing w:lineRule="auto" w:line="304" w:before="0" w:after="0"/>
              <w:ind w:left="0" w:right="0" w:hanging="0"/>
              <w:jc w:val="left"/>
              <w:rPr/>
            </w:pPr>
            <w:hyperlink w:anchor="Item4ControlsandProcedures_993069">
              <w:r>
                <w:rPr>
                  <w:rStyle w:val="InternetLink"/>
                  <w:rFonts w:ascii="Times New Roman;Times;serif" w:hAnsi="Times New Roman;Times;serif"/>
                  <w:b w:val="false"/>
                  <w:i w:val="false"/>
                  <w:caps w:val="false"/>
                  <w:smallCaps w:val="false"/>
                  <w:sz w:val="20"/>
                </w:rPr>
                <w:t>Item 4—Controls and Procedures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PARTIIOTHERINFORMATION_876059">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1LegalProceedings_592048">
              <w:r>
                <w:rPr>
                  <w:rStyle w:val="InternetLink"/>
                  <w:rFonts w:ascii="Times New Roman;Times;serif" w:hAnsi="Times New Roman;Times;serif"/>
                  <w:b w:val="false"/>
                  <w:i w:val="false"/>
                  <w:caps w:val="false"/>
                  <w:smallCaps w:val="false"/>
                  <w:sz w:val="20"/>
                </w:rPr>
                <w:t>Item 1—Legal Proceedings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1ARiskFactors_3757">
              <w:r>
                <w:rPr>
                  <w:rStyle w:val="InternetLink"/>
                  <w:rFonts w:ascii="Times New Roman;Times;serif" w:hAnsi="Times New Roman;Times;serif"/>
                  <w:b w:val="false"/>
                  <w:i w:val="false"/>
                  <w:caps w:val="false"/>
                  <w:smallCaps w:val="false"/>
                  <w:sz w:val="20"/>
                </w:rPr>
                <w:t>Item 1A—Risk Factors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2—Unregistered Sales of Equity Securities and Use of Proceeds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086" w:type="dxa"/>
            <w:tcBorders/>
            <w:vAlign w:val="center"/>
          </w:tcPr>
          <w:p>
            <w:pPr>
              <w:pStyle w:val="TableContents"/>
              <w:pBdr/>
              <w:bidi w:val="0"/>
              <w:spacing w:lineRule="auto" w:line="304" w:before="0" w:after="0"/>
              <w:ind w:left="0" w:right="0" w:hanging="0"/>
              <w:jc w:val="left"/>
              <w:rPr/>
            </w:pPr>
            <w:hyperlink w:anchor="Other_Information">
              <w:r>
                <w:rPr>
                  <w:rStyle w:val="InternetLink"/>
                  <w:rFonts w:ascii="Times New Roman;Times;serif" w:hAnsi="Times New Roman;Times;serif"/>
                  <w:b w:val="false"/>
                  <w:i w:val="false"/>
                  <w:caps w:val="false"/>
                  <w:smallCaps w:val="false"/>
                  <w:sz w:val="20"/>
                </w:rPr>
                <w:t>Item 5—Other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086" w:type="dxa"/>
            <w:tcBorders/>
            <w:vAlign w:val="center"/>
          </w:tcPr>
          <w:p>
            <w:pPr>
              <w:pStyle w:val="TableContents"/>
              <w:pBdr/>
              <w:bidi w:val="0"/>
              <w:spacing w:lineRule="auto" w:line="304" w:before="0" w:after="0"/>
              <w:ind w:left="0" w:right="0" w:hanging="0"/>
              <w:jc w:val="left"/>
              <w:rPr/>
            </w:pPr>
            <w:hyperlink w:anchor="Item6Exhibits_786371">
              <w:r>
                <w:rPr>
                  <w:rStyle w:val="InternetLink"/>
                  <w:rFonts w:ascii="Times New Roman;Times;serif" w:hAnsi="Times New Roman;Times;serif"/>
                  <w:b w:val="false"/>
                  <w:i w:val="false"/>
                  <w:caps w:val="false"/>
                  <w:smallCaps w:val="false"/>
                  <w:sz w:val="20"/>
                </w:rPr>
                <w:t>Item 6—Exhibits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086" w:type="dxa"/>
            <w:tcBorders/>
            <w:vAlign w:val="center"/>
          </w:tcPr>
          <w:p>
            <w:pPr>
              <w:pStyle w:val="TableContents"/>
              <w:pBdr/>
              <w:bidi w:val="0"/>
              <w:spacing w:lineRule="auto" w:line="304" w:before="0" w:after="0"/>
              <w:ind w:left="0" w:right="0" w:hanging="0"/>
              <w:jc w:val="left"/>
              <w:rPr/>
            </w:pPr>
            <w:hyperlink w:anchor="SIGNATURES_72785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PARTIFINANCIALINFORMATION_22365"/>
      <w:bookmarkStart w:id="26" w:name="_9db43767_90a8_4d22_b241_c93005a30cc4"/>
      <w:bookmarkEnd w:id="25"/>
      <w:bookmarkEnd w:id="26"/>
      <w:r>
        <w:rPr>
          <w:rFonts w:ascii="Times New Roman;Times;serif" w:hAnsi="Times New Roman;Times;serif"/>
          <w:b/>
          <w:sz w:val="20"/>
        </w:rPr>
        <w:t>PART I—FINANCIAL INFORMATION</w:t>
      </w:r>
    </w:p>
    <w:p>
      <w:pPr>
        <w:pStyle w:val="TextBody"/>
        <w:bidi w:val="0"/>
        <w:spacing w:before="0" w:after="0"/>
        <w:ind w:left="0" w:right="0" w:hanging="0"/>
        <w:jc w:val="left"/>
        <w:rPr>
          <w:rFonts w:ascii="Times New Roman;Times;serif" w:hAnsi="Times New Roman;Times;serif"/>
          <w:sz w:val="20"/>
        </w:rPr>
      </w:pPr>
      <w:bookmarkStart w:id="27" w:name="Item1FinancialStatements_828498"/>
      <w:bookmarkEnd w:id="27"/>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28" w:name="CONSOLIDATEDBALANCESHEETS_635296"/>
      <w:bookmarkEnd w:id="2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29" w:name="Tc_Raija3RcfUe6zKuk0VI_tg_43_5"/>
      <w:bookmarkStart w:id="30" w:name="Tc_Z0egO1Lqg0eTPvL7FshjWA_43_2"/>
      <w:bookmarkStart w:id="31" w:name="Tc_0tsijed6fkyB-H2fG4ajpA_43_0"/>
      <w:bookmarkStart w:id="32" w:name="Tc_cE4kOS-In0WQUXLynxBlgw_42_0"/>
      <w:bookmarkStart w:id="33" w:name="Tc_tDzPU_-MrEyfSrGhMPkBWg_41_0"/>
      <w:bookmarkStart w:id="34" w:name="Tc_-rSIv4SsM0y_YRvn8KogFw_40_0"/>
      <w:bookmarkStart w:id="35" w:name="Tc_0j0kMjbP_kqqbxpDrO5pjg_39_0"/>
      <w:bookmarkStart w:id="36" w:name="Tc_JsFch5QORkay6fGMJwqHyA_38_0"/>
      <w:bookmarkStart w:id="37" w:name="Tc_cDwHacn4nker5OrwnLBTCw_37_0"/>
      <w:bookmarkStart w:id="38" w:name="Tc_gExw4Sut1Uebo5AJRgyNfw_36_0"/>
      <w:bookmarkStart w:id="39" w:name="Tc_L_ydiHLo4ESs05iKzpzOpA_35_0"/>
      <w:bookmarkStart w:id="40" w:name="Tc_8CaH8jA54UWJTuoHFa4Qeg_34_0"/>
      <w:bookmarkStart w:id="41" w:name="Tc_0VqnwNhZG0eMYky1MVpUXA_33_0"/>
      <w:bookmarkStart w:id="42" w:name="Tc_6jPjU9BNkECAXCNPPL0slA_32_0"/>
      <w:bookmarkStart w:id="43" w:name="Tc_ovACRwQXPE2eZ9nAQ-nyFA_31_0"/>
      <w:bookmarkStart w:id="44" w:name="Tc_5jXYl0T1EkmITYy3YFsHgQ_30_0"/>
      <w:bookmarkStart w:id="45" w:name="Tc_M2a2mqYxBE-DB4waePtemQ_29_0"/>
      <w:bookmarkStart w:id="46" w:name="Tc_QXkxWNC7IEWAeLqUaZ6n9w_28_0"/>
      <w:bookmarkStart w:id="47" w:name="Tc_YAw7YTn43k6JU6bcprw7VQ_27_0"/>
      <w:bookmarkStart w:id="48" w:name="Tc_4WQFTowqo0qSV-ZFWZOjTQ_26_0"/>
      <w:bookmarkStart w:id="49" w:name="Tc_t9KedsCeXEmQAYrrODxbDw_25_0"/>
      <w:bookmarkStart w:id="50" w:name="Tc_aQwuhKpyCEyj45CIruFy3A_24_0"/>
      <w:bookmarkStart w:id="51" w:name="Tc_6EDD9ve5QUGiD-tFhEv_aA_23_5"/>
      <w:bookmarkStart w:id="52" w:name="Tc_Ytl1EnS4o0uj5Uv70QJ9jw_23_2"/>
      <w:bookmarkStart w:id="53" w:name="Tc_RzDJ5GBb4UemEdmq0dAMFA_23_0"/>
      <w:bookmarkStart w:id="54" w:name="Tc_uiC5Ue-T-0GpJbGqr5Q9XA_22_0"/>
      <w:bookmarkStart w:id="55" w:name="Tc_TztA6w3u5EumX5ZPtBG-uw_21_0"/>
      <w:bookmarkStart w:id="56" w:name="Tc_oEMxG-PP10iMgQY9VBnUTg_20_5"/>
      <w:bookmarkStart w:id="57" w:name="Tc_dQCott7z_UmjnMy2mfuQHw_20_2"/>
      <w:bookmarkStart w:id="58" w:name="Tc__c1wj9ft1EWtorUDFWBpkg_20_0"/>
      <w:bookmarkStart w:id="59" w:name="Tc_iTXJQx4lqEW5VvZwO1UsCg_19_0"/>
      <w:bookmarkStart w:id="60" w:name="Tc_ycybiL45tkOL9AgLZAtsvg_18_0"/>
      <w:bookmarkStart w:id="61" w:name="Tc_FBm4q8vmu0ew3REa0RQV9Q_17_0"/>
      <w:bookmarkStart w:id="62" w:name="Tc_Ub1z9-x6TUud1ucy_dq-5A_16_0"/>
      <w:bookmarkStart w:id="63" w:name="Tc_W1SBfKeMPEqrIcyGWgv3Rg_15_0"/>
      <w:bookmarkStart w:id="64" w:name="Tc_hp95WKrifkedc597p-M4RQ_14_0"/>
      <w:bookmarkStart w:id="65" w:name="Tc_XiPVzmzV1kGSJUjo7zgjcQ_13_0"/>
      <w:bookmarkStart w:id="66" w:name="Tc_FMDAlfJNfU2ot_fWOBtlPw_12_0"/>
      <w:bookmarkStart w:id="67" w:name="Tc_mbDQDkYBl0q4Dwd7_6pddA_11_0"/>
      <w:bookmarkStart w:id="68" w:name="Tc_dz4SoFyPZ0-zWvzDMX5nrQ_10_0"/>
      <w:bookmarkStart w:id="69" w:name="Tc_Qpp3Jq_GukqdPcVLdE7Dfg_9_0"/>
      <w:bookmarkStart w:id="70" w:name="Tc_WEDXyhXYEkSfieel3ORUxg_8_0"/>
      <w:bookmarkStart w:id="71" w:name="Tc_LgumeiwQG0qLxnLXnx3FNg_7_0"/>
      <w:bookmarkStart w:id="72" w:name="Tc_P-m5NCoW6Een-anfeUP0TA_6_5"/>
      <w:bookmarkStart w:id="73" w:name="Tc_JQqh0NG6bEGw2x4RxXoUXw_6_2"/>
      <w:bookmarkStart w:id="74" w:name="Tc_MVi82ISalU6nQMopc0Hl0g_6_0"/>
      <w:bookmarkStart w:id="75" w:name="Tc_Ex2X16mXH0GDG6-PbOhHQg_5_0"/>
      <w:bookmarkStart w:id="76" w:name="Tc_gyVbfICN8UW-TykiM88ReQ_4_0"/>
      <w:bookmarkStart w:id="77" w:name="Tc_TzyFIi1BiE6yhxxIC3uXjQ_3_2"/>
      <w:bookmarkStart w:id="78" w:name="Tc_1bTxmevoHEGeLefyWtH5Ew_2_5"/>
      <w:bookmarkStart w:id="79" w:name="Tc_XNM8o3TTTE2yVYi9489iyg_2_2"/>
      <w:bookmarkStart w:id="80" w:name="Tc_SCF40b__eUGXfgOlo0jj3Q_1_5"/>
      <w:bookmarkStart w:id="81" w:name="Tc_LhwrdcCDZkStosOzKUUjIQ_1_2"/>
      <w:bookmarkStart w:id="82" w:name="_06a45c18_6e63_4e33_9112_606482aea4b0"/>
      <w:bookmarkStart w:id="83" w:name="Tc_Raija3RcfUe6zKuk0VI_tg_43_5"/>
      <w:bookmarkStart w:id="84" w:name="Tc_Z0egO1Lqg0eTPvL7FshjWA_43_2"/>
      <w:bookmarkStart w:id="85" w:name="Tc_0tsijed6fkyB-H2fG4ajpA_43_0"/>
      <w:bookmarkStart w:id="86" w:name="Tc_cE4kOS-In0WQUXLynxBlgw_42_0"/>
      <w:bookmarkStart w:id="87" w:name="Tc_tDzPU_-MrEyfSrGhMPkBWg_41_0"/>
      <w:bookmarkStart w:id="88" w:name="Tc_-rSIv4SsM0y_YRvn8KogFw_40_0"/>
      <w:bookmarkStart w:id="89" w:name="Tc_0j0kMjbP_kqqbxpDrO5pjg_39_0"/>
      <w:bookmarkStart w:id="90" w:name="Tc_JsFch5QORkay6fGMJwqHyA_38_0"/>
      <w:bookmarkStart w:id="91" w:name="Tc_cDwHacn4nker5OrwnLBTCw_37_0"/>
      <w:bookmarkStart w:id="92" w:name="Tc_gExw4Sut1Uebo5AJRgyNfw_36_0"/>
      <w:bookmarkStart w:id="93" w:name="Tc_L_ydiHLo4ESs05iKzpzOpA_35_0"/>
      <w:bookmarkStart w:id="94" w:name="Tc_8CaH8jA54UWJTuoHFa4Qeg_34_0"/>
      <w:bookmarkStart w:id="95" w:name="Tc_0VqnwNhZG0eMYky1MVpUXA_33_0"/>
      <w:bookmarkStart w:id="96" w:name="Tc_6jPjU9BNkECAXCNPPL0slA_32_0"/>
      <w:bookmarkStart w:id="97" w:name="Tc_ovACRwQXPE2eZ9nAQ-nyFA_31_0"/>
      <w:bookmarkStart w:id="98" w:name="Tc_5jXYl0T1EkmITYy3YFsHgQ_30_0"/>
      <w:bookmarkStart w:id="99" w:name="Tc_M2a2mqYxBE-DB4waePtemQ_29_0"/>
      <w:bookmarkStart w:id="100" w:name="Tc_QXkxWNC7IEWAeLqUaZ6n9w_28_0"/>
      <w:bookmarkStart w:id="101" w:name="Tc_YAw7YTn43k6JU6bcprw7VQ_27_0"/>
      <w:bookmarkStart w:id="102" w:name="Tc_4WQFTowqo0qSV-ZFWZOjTQ_26_0"/>
      <w:bookmarkStart w:id="103" w:name="Tc_t9KedsCeXEmQAYrrODxbDw_25_0"/>
      <w:bookmarkStart w:id="104" w:name="Tc_aQwuhKpyCEyj45CIruFy3A_24_0"/>
      <w:bookmarkStart w:id="105" w:name="Tc_6EDD9ve5QUGiD-tFhEv_aA_23_5"/>
      <w:bookmarkStart w:id="106" w:name="Tc_Ytl1EnS4o0uj5Uv70QJ9jw_23_2"/>
      <w:bookmarkStart w:id="107" w:name="Tc_RzDJ5GBb4UemEdmq0dAMFA_23_0"/>
      <w:bookmarkStart w:id="108" w:name="Tc_uiC5Ue-T-0GpJbGqr5Q9XA_22_0"/>
      <w:bookmarkStart w:id="109" w:name="Tc_TztA6w3u5EumX5ZPtBG-uw_21_0"/>
      <w:bookmarkStart w:id="110" w:name="Tc_oEMxG-PP10iMgQY9VBnUTg_20_5"/>
      <w:bookmarkStart w:id="111" w:name="Tc_dQCott7z_UmjnMy2mfuQHw_20_2"/>
      <w:bookmarkStart w:id="112" w:name="Tc__c1wj9ft1EWtorUDFWBpkg_20_0"/>
      <w:bookmarkStart w:id="113" w:name="Tc_iTXJQx4lqEW5VvZwO1UsCg_19_0"/>
      <w:bookmarkStart w:id="114" w:name="Tc_ycybiL45tkOL9AgLZAtsvg_18_0"/>
      <w:bookmarkStart w:id="115" w:name="Tc_FBm4q8vmu0ew3REa0RQV9Q_17_0"/>
      <w:bookmarkStart w:id="116" w:name="Tc_Ub1z9-x6TUud1ucy_dq-5A_16_0"/>
      <w:bookmarkStart w:id="117" w:name="Tc_W1SBfKeMPEqrIcyGWgv3Rg_15_0"/>
      <w:bookmarkStart w:id="118" w:name="Tc_hp95WKrifkedc597p-M4RQ_14_0"/>
      <w:bookmarkStart w:id="119" w:name="Tc_XiPVzmzV1kGSJUjo7zgjcQ_13_0"/>
      <w:bookmarkStart w:id="120" w:name="Tc_FMDAlfJNfU2ot_fWOBtlPw_12_0"/>
      <w:bookmarkStart w:id="121" w:name="Tc_mbDQDkYBl0q4Dwd7_6pddA_11_0"/>
      <w:bookmarkStart w:id="122" w:name="Tc_dz4SoFyPZ0-zWvzDMX5nrQ_10_0"/>
      <w:bookmarkStart w:id="123" w:name="Tc_Qpp3Jq_GukqdPcVLdE7Dfg_9_0"/>
      <w:bookmarkStart w:id="124" w:name="Tc_WEDXyhXYEkSfieel3ORUxg_8_0"/>
      <w:bookmarkStart w:id="125" w:name="Tc_LgumeiwQG0qLxnLXnx3FNg_7_0"/>
      <w:bookmarkStart w:id="126" w:name="Tc_P-m5NCoW6Een-anfeUP0TA_6_5"/>
      <w:bookmarkStart w:id="127" w:name="Tc_JQqh0NG6bEGw2x4RxXoUXw_6_2"/>
      <w:bookmarkStart w:id="128" w:name="Tc_MVi82ISalU6nQMopc0Hl0g_6_0"/>
      <w:bookmarkStart w:id="129" w:name="Tc_Ex2X16mXH0GDG6-PbOhHQg_5_0"/>
      <w:bookmarkStart w:id="130" w:name="Tc_gyVbfICN8UW-TykiM88ReQ_4_0"/>
      <w:bookmarkStart w:id="131" w:name="Tc_TzyFIi1BiE6yhxxIC3uXjQ_3_2"/>
      <w:bookmarkStart w:id="132" w:name="Tc_1bTxmevoHEGeLefyWtH5Ew_2_5"/>
      <w:bookmarkStart w:id="133" w:name="Tc_XNM8o3TTTE2yVYi9489iyg_2_2"/>
      <w:bookmarkStart w:id="134" w:name="Tc_SCF40b__eUGXfgOlo0jj3Q_1_5"/>
      <w:bookmarkStart w:id="135" w:name="Tc_LhwrdcCDZkStosOzKUUjIQ_1_2"/>
      <w:bookmarkStart w:id="136" w:name="_06a45c18_6e63_4e33_9112_606482aea4b0"/>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008"/>
        <w:gridCol w:w="346"/>
        <w:gridCol w:w="216"/>
        <w:gridCol w:w="955"/>
        <w:gridCol w:w="346"/>
        <w:gridCol w:w="211"/>
        <w:gridCol w:w="931"/>
        <w:gridCol w:w="192"/>
      </w:tblGrid>
      <w:tr>
        <w:trPr/>
        <w:tc>
          <w:tcPr>
            <w:tcW w:w="7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50080" cy="175260"/>
                      <wp:effectExtent l="0" t="0" r="0" b="0"/>
                      <wp:wrapNone/>
                      <wp:docPr id="4" name="Frame4"/>
                      <a:graphic xmlns:a="http://schemas.openxmlformats.org/drawingml/2006/main">
                        <a:graphicData uri="http://schemas.microsoft.com/office/word/2010/wordprocessingShape">
                          <wps:wsp>
                            <wps:cNvSpPr txBox="1"/>
                            <wps:spPr>
                              <a:xfrm>
                                <a:off x="0" y="0"/>
                                <a:ext cx="445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7160" cy="175260"/>
                      <wp:effectExtent l="0" t="0" r="0" b="0"/>
                      <wp:wrapNone/>
                      <wp:docPr id="6" name="Frame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06425" cy="175260"/>
                      <wp:effectExtent l="0" t="0" r="0" b="0"/>
                      <wp:wrapNone/>
                      <wp:docPr id="7" name="Frame7"/>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920" cy="175260"/>
                      <wp:effectExtent l="0" t="0" r="0" b="0"/>
                      <wp:wrapNone/>
                      <wp:docPr id="11" name="Frame1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2" w:type="dxa"/>
            <w:tcBorders/>
            <w:vAlign w:val="center"/>
          </w:tcPr>
          <w:p>
            <w:pPr>
              <w:pStyle w:val="TableContents"/>
              <w:bidi w:val="0"/>
              <w:spacing w:before="0" w:after="0"/>
              <w:ind w:left="0" w:right="0" w:hanging="0"/>
              <w:jc w:val="left"/>
              <w:rPr/>
            </w:pPr>
            <w:r>
              <w:rPr/>
              <w:t> </w:t>
            </w:r>
          </w:p>
        </w:tc>
      </w:tr>
      <w:tr>
        <w:trPr/>
        <w:tc>
          <w:tcPr>
            <w:tcW w:w="70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9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2,158,027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981,898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Billed accounts receivable, less allowance for credit losses of $24,384</w:t>
            </w:r>
            <w:r>
              <w:rPr>
                <w:rFonts w:ascii="Times New Roman;Times;serif" w:hAnsi="Times New Roman;Times;serif"/>
                <w:sz w:val="18"/>
              </w:rPr>
              <w:t xml:space="preserve"> </w:t>
            </w:r>
            <w:r>
              <w:rPr>
                <w:rFonts w:ascii="Times New Roman;Times;serif" w:hAnsi="Times New Roman;Times;serif"/>
                <w:sz w:val="19"/>
              </w:rPr>
              <w:t>and $19,708, respectively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3,837,245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2,577,858</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Unbilled accounts receivable, less allowance for credit losses of $2,497</w:t>
            </w:r>
            <w:r>
              <w:rPr>
                <w:rFonts w:ascii="Times New Roman;Times;serif" w:hAnsi="Times New Roman;Times;serif"/>
                <w:sz w:val="18"/>
              </w:rPr>
              <w:t xml:space="preserve"> </w:t>
            </w:r>
            <w:r>
              <w:rPr>
                <w:rFonts w:ascii="Times New Roman;Times;serif" w:hAnsi="Times New Roman;Times;serif"/>
                <w:sz w:val="19"/>
              </w:rPr>
              <w:t>and $1,508,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123,197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Other receivables, less allowance for credit losses of $223</w:t>
            </w:r>
            <w:r>
              <w:rPr>
                <w:rFonts w:ascii="Times New Roman;Times;serif" w:hAnsi="Times New Roman;Times;serif"/>
                <w:sz w:val="18"/>
              </w:rPr>
              <w:t xml:space="preserve"> </w:t>
            </w:r>
            <w:r>
              <w:rPr>
                <w:rFonts w:ascii="Times New Roman;Times;serif" w:hAnsi="Times New Roman;Times;serif"/>
                <w:sz w:val="19"/>
              </w:rPr>
              <w:t>and $325, respectively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128,997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116,157</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84,066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187,558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138,560</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Costs and estimated earnings in excess of billings, less allowance for credit losses of $458</w:t>
            </w:r>
            <w:r>
              <w:rPr>
                <w:rFonts w:ascii="Times New Roman;Times;serif" w:hAnsi="Times New Roman;Times;serif"/>
                <w:sz w:val="18"/>
              </w:rPr>
              <w:t xml:space="preserve"> </w:t>
            </w:r>
            <w:r>
              <w:rPr>
                <w:rFonts w:ascii="Times New Roman;Times;serif" w:hAnsi="Times New Roman;Times;serif"/>
                <w:sz w:val="19"/>
              </w:rPr>
              <w:t>and $255,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159,328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88,817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6,776,190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4,110,553</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862,733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387,952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RIGHT-OF-USE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349,631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322,922</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1,149,698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1,025,515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IDENTIFIABLE INTANGIBLE ASSETS, NET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548,435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485,168</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85,591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84,139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ASSETS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24,920</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9,805,283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6,163</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945,969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696,348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537,663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291,722</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Billings in excess of costs and estimated earnings and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3,872,012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2,120,262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self-insurance</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42,973</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508,887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236,382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5,911,571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3,393,850</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139,063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324,878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302,590</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185,854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153,000</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6,470,040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3,992,395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$.01</w:t>
            </w:r>
            <w:r>
              <w:rPr>
                <w:rFonts w:ascii="Times New Roman;Times;serif" w:hAnsi="Times New Roman;Times;serif"/>
                <w:sz w:val="18"/>
              </w:rPr>
              <w:t xml:space="preserve"> </w:t>
            </w:r>
            <w:r>
              <w:rPr>
                <w:rFonts w:ascii="Times New Roman;Times;serif" w:hAnsi="Times New Roman;Times;serif"/>
                <w:sz w:val="19"/>
              </w:rPr>
              <w:t>par, 5,000,000</w:t>
            </w:r>
            <w:r>
              <w:rPr>
                <w:rFonts w:ascii="Times New Roman;Times;serif" w:hAnsi="Times New Roman;Times;serif"/>
                <w:sz w:val="18"/>
              </w:rPr>
              <w:t xml:space="preserve"> </w:t>
            </w:r>
            <w:r>
              <w:rPr>
                <w:rFonts w:ascii="Times New Roman;Times;serif" w:hAnsi="Times New Roman;Times;serif"/>
                <w:sz w:val="19"/>
              </w:rPr>
              <w:t>shares authorized, none</w:t>
            </w:r>
            <w:r>
              <w:rPr>
                <w:rFonts w:ascii="Times New Roman;Times;serif" w:hAnsi="Times New Roman;Times;serif"/>
                <w:sz w:val="18"/>
              </w:rPr>
              <w:t xml:space="preserve"> </w:t>
            </w:r>
            <w:r>
              <w:rPr>
                <w:rFonts w:ascii="Times New Roman;Times;serif" w:hAnsi="Times New Roman;Times;serif"/>
                <w:sz w:val="19"/>
              </w:rPr>
              <w:t>issued and outstanding</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$.01</w:t>
            </w:r>
            <w:r>
              <w:rPr>
                <w:rFonts w:ascii="Times New Roman;Times;serif" w:hAnsi="Times New Roman;Times;serif"/>
                <w:sz w:val="18"/>
              </w:rPr>
              <w:t xml:space="preserve"> </w:t>
            </w:r>
            <w:r>
              <w:rPr>
                <w:rFonts w:ascii="Times New Roman;Times;serif" w:hAnsi="Times New Roman;Times;serif"/>
                <w:sz w:val="19"/>
              </w:rPr>
              <w:t>par, 102,969,912</w:t>
            </w:r>
            <w:r>
              <w:rPr>
                <w:rFonts w:ascii="Times New Roman;Times;serif" w:hAnsi="Times New Roman;Times;serif"/>
                <w:sz w:val="18"/>
              </w:rPr>
              <w:t xml:space="preserve"> </w:t>
            </w:r>
            <w:r>
              <w:rPr>
                <w:rFonts w:ascii="Times New Roman;Times;serif" w:hAnsi="Times New Roman;Times;serif"/>
                <w:sz w:val="19"/>
              </w:rPr>
              <w:t>shares authorized, 41,123,365</w:t>
            </w:r>
            <w:r>
              <w:rPr>
                <w:rFonts w:ascii="Times New Roman;Times;serif" w:hAnsi="Times New Roman;Times;serif"/>
                <w:sz w:val="18"/>
              </w:rPr>
              <w:t xml:space="preserve"> </w:t>
            </w:r>
            <w:r>
              <w:rPr>
                <w:rFonts w:ascii="Times New Roman;Times;serif" w:hAnsi="Times New Roman;Times;serif"/>
                <w:sz w:val="19"/>
              </w:rPr>
              <w:t>and 41,123,365</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Treasury stock, at cost, 6,129,102</w:t>
            </w:r>
            <w:r>
              <w:rPr>
                <w:rFonts w:ascii="Times New Roman;Times;serif" w:hAnsi="Times New Roman;Times;serif"/>
                <w:sz w:val="18"/>
              </w:rPr>
              <w:t xml:space="preserve"> </w:t>
            </w:r>
            <w:r>
              <w:rPr>
                <w:rFonts w:ascii="Times New Roman;Times;serif" w:hAnsi="Times New Roman;Times;serif"/>
                <w:sz w:val="19"/>
              </w:rPr>
              <w:t>and 5,946,145</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(858,737)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(496,006)</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363,314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3,797,694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2,581,055</w:t>
            </w:r>
          </w:p>
        </w:tc>
        <w:tc>
          <w:tcPr>
            <w:tcW w:w="192" w:type="dxa"/>
            <w:tcBorders/>
            <w:vAlign w:val="center"/>
          </w:tcPr>
          <w:p>
            <w:pPr>
              <w:pStyle w:val="TableContents"/>
              <w:bidi w:val="0"/>
              <w:spacing w:before="0" w:after="0"/>
              <w:ind w:left="0" w:right="0" w:hanging="0"/>
              <w:jc w:val="left"/>
              <w:rPr/>
            </w:pPr>
            <w:r>
              <w:rPr/>
              <w:t>​</w:t>
            </w:r>
          </w:p>
        </w:tc>
      </w:tr>
      <w:tr>
        <w:trPr/>
        <w:tc>
          <w:tcPr>
            <w:tcW w:w="700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3,335,243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2,448,774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0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9,805,283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37" w:name="_1c5c2f75_abd6_4b06_84b5_5c25864039ad"/>
      <w:bookmarkEnd w:id="137"/>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138" w:name="CONSOLIDATEDSTATEMENTSOFOPERATIONS_54357"/>
      <w:bookmarkEnd w:id="138"/>
      <w:r>
        <w:rPr>
          <w:rFonts w:ascii="Times New Roman;Times;serif" w:hAnsi="Times New Roman;Times;serif"/>
          <w:b/>
          <w:sz w:val="20"/>
        </w:rPr>
        <w:t>CONSOLIDATED STATEMENTS OF OPERATIONS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39" w:name="Tc_C-asvHX3E0W9uHcmfaaiOg_26_0"/>
      <w:bookmarkStart w:id="140" w:name="Tc_owItY-wtnUiy_wWalRAT9g_25_0"/>
      <w:bookmarkStart w:id="141" w:name="Tc_A7NbczL2zUKEOk5Z7IqyPw_24_0"/>
      <w:bookmarkStart w:id="142" w:name="Tc_p6VBaT_p50iYbdeLyaY2Pg_22_11"/>
      <w:bookmarkStart w:id="143" w:name="Tc_Fb1bs5Mhf0qQUD4F2SALwA_22_8"/>
      <w:bookmarkStart w:id="144" w:name="Tc_DN-Exh1Ankid3Jnq3Fy7-w_22_5"/>
      <w:bookmarkStart w:id="145" w:name="Tc_5QTssZ9iukCHhnyBLhRjig_22_2"/>
      <w:bookmarkStart w:id="146" w:name="Tc_FOhoqQXqdEmF0-LcJuCFxA_22_0"/>
      <w:bookmarkStart w:id="147" w:name="Tc_KHLDfif6kkyuip9Zm6qc4w_21_11"/>
      <w:bookmarkStart w:id="148" w:name="Tc_APQVyTnAMEm5bQ9YgQIrdw_21_8"/>
      <w:bookmarkStart w:id="149" w:name="Tc_9Qg1wwh4FEe-sWd33bs1Gg_21_5"/>
      <w:bookmarkStart w:id="150" w:name="Tc_rQjxnc0fdU6jocspFX6PCw_21_2"/>
      <w:bookmarkStart w:id="151" w:name="Tc_GHCNIILkvEegbFdJQq4d-Q_21_0"/>
      <w:bookmarkStart w:id="152" w:name="Tc_MUenbm41k0GDs-WHUilaaQ_20_0"/>
      <w:bookmarkStart w:id="153" w:name="Tc_3FDdb51HeEOLnxIbs4LuUA_18_11"/>
      <w:bookmarkStart w:id="154" w:name="Tc_vjLtV2jMP0GqZrYq1tpq2A_18_8"/>
      <w:bookmarkStart w:id="155" w:name="Tc_FL1iJsX1SUaaGWE14ircWg_18_5"/>
      <w:bookmarkStart w:id="156" w:name="Tc_9sBVBwYmmkGHAvrtQv3-2g_18_2"/>
      <w:bookmarkStart w:id="157" w:name="Tc_vVFuuMVf1EyyhaNttHXNKA_18_0"/>
      <w:bookmarkStart w:id="158" w:name="Tc__bJODzrR9UaG_vQRB0C7oQ_17_0"/>
      <w:bookmarkStart w:id="159" w:name="Tc_0yc7u5DxS0qr2ChNX1iKEg_16_0"/>
      <w:bookmarkStart w:id="160" w:name="Tc_fCZcSxp2nEOLBVq0lgyQvQ_15_0"/>
      <w:bookmarkStart w:id="161" w:name="Tc_nhvQ5UrbikSpHeduTUWNLw_14_0"/>
      <w:bookmarkStart w:id="162" w:name="Tc_ZGAiZvscqki_UJA5N42D6Q_13_0"/>
      <w:bookmarkStart w:id="163" w:name="Tc_-PvHGNl1o0CU2H5sGyyr7A_12_0"/>
      <w:bookmarkStart w:id="164" w:name="Tc_XaL2Ky9TYkqk_0fEJsgMdw_11_0"/>
      <w:bookmarkStart w:id="165" w:name="Tc_nQsu3tsSzUimVEOOUcpnUQ_10_0"/>
      <w:bookmarkStart w:id="166" w:name="Tc_qO3WnyvQE0KAMrjv8wlhlQ_9_0"/>
      <w:bookmarkStart w:id="167" w:name="Tc_yQNoC4YEA0ixNGZ1KC9YFg_8_0"/>
      <w:bookmarkStart w:id="168" w:name="Tc_0C71g0HC_UamoN2KJsEl7Q_7_0"/>
      <w:bookmarkStart w:id="169" w:name="Tc_HZkHrP-BpEmmRV07oIYPGg_6_0"/>
      <w:bookmarkStart w:id="170" w:name="Tc_GXMC9rDkskCd5R0PQDakQA_5_0"/>
      <w:bookmarkStart w:id="171" w:name="Tc_OZzyZGJnmUSY0qfdh_4SSA_4_11"/>
      <w:bookmarkStart w:id="172" w:name="Tc_ElwBLsTDT02WyGbvSNeLWA_4_8"/>
      <w:bookmarkStart w:id="173" w:name="Tc_yW5rO-4MSEyO-tps1mad-g_4_5"/>
      <w:bookmarkStart w:id="174" w:name="Tc_nGaLj0P-SUStx0fjm8QiMg_4_2"/>
      <w:bookmarkStart w:id="175" w:name="Tc_Y0P6bSQsdEmZiM39hFVGVg_4_0"/>
      <w:bookmarkStart w:id="176" w:name="Tc_H1l72g-hOk6jesLNM00XRA_3_11"/>
      <w:bookmarkStart w:id="177" w:name="Tc_tln84T8GbEmunag4FnpPsA_3_8"/>
      <w:bookmarkStart w:id="178" w:name="Tc_GfMXf_ATBEiLd5mdsWxdaQ_3_5"/>
      <w:bookmarkStart w:id="179" w:name="Tc_tbeTrI4LEk69sX5np243ig_3_2"/>
      <w:bookmarkStart w:id="180" w:name="Tc_kd9pY5nPsEq2VNE4IJBMuQ_2_8"/>
      <w:bookmarkStart w:id="181" w:name="Tc_dwSAkA2V50m_eHC7PUlrLQ_2_2"/>
      <w:bookmarkStart w:id="182" w:name="Tc_HI-zmu5n_Ue9ovNuzIjuQA_1_8"/>
      <w:bookmarkStart w:id="183" w:name="Tc_veihy0CcUUOcv6JwLo_rJg_1_2"/>
      <w:bookmarkStart w:id="184" w:name="_4043589a_27c8_4b4f_aa47_1d2537520a32"/>
      <w:bookmarkStart w:id="185" w:name="Tc_C-asvHX3E0W9uHcmfaaiOg_26_0"/>
      <w:bookmarkStart w:id="186" w:name="Tc_owItY-wtnUiy_wWalRAT9g_25_0"/>
      <w:bookmarkStart w:id="187" w:name="Tc_A7NbczL2zUKEOk5Z7IqyPw_24_0"/>
      <w:bookmarkStart w:id="188" w:name="Tc_p6VBaT_p50iYbdeLyaY2Pg_22_11"/>
      <w:bookmarkStart w:id="189" w:name="Tc_Fb1bs5Mhf0qQUD4F2SALwA_22_8"/>
      <w:bookmarkStart w:id="190" w:name="Tc_DN-Exh1Ankid3Jnq3Fy7-w_22_5"/>
      <w:bookmarkStart w:id="191" w:name="Tc_5QTssZ9iukCHhnyBLhRjig_22_2"/>
      <w:bookmarkStart w:id="192" w:name="Tc_FOhoqQXqdEmF0-LcJuCFxA_22_0"/>
      <w:bookmarkStart w:id="193" w:name="Tc_KHLDfif6kkyuip9Zm6qc4w_21_11"/>
      <w:bookmarkStart w:id="194" w:name="Tc_APQVyTnAMEm5bQ9YgQIrdw_21_8"/>
      <w:bookmarkStart w:id="195" w:name="Tc_9Qg1wwh4FEe-sWd33bs1Gg_21_5"/>
      <w:bookmarkStart w:id="196" w:name="Tc_rQjxnc0fdU6jocspFX6PCw_21_2"/>
      <w:bookmarkStart w:id="197" w:name="Tc_GHCNIILkvEegbFdJQq4d-Q_21_0"/>
      <w:bookmarkStart w:id="198" w:name="Tc_MUenbm41k0GDs-WHUilaaQ_20_0"/>
      <w:bookmarkStart w:id="199" w:name="Tc_3FDdb51HeEOLnxIbs4LuUA_18_11"/>
      <w:bookmarkStart w:id="200" w:name="Tc_vjLtV2jMP0GqZrYq1tpq2A_18_8"/>
      <w:bookmarkStart w:id="201" w:name="Tc_FL1iJsX1SUaaGWE14ircWg_18_5"/>
      <w:bookmarkStart w:id="202" w:name="Tc_9sBVBwYmmkGHAvrtQv3-2g_18_2"/>
      <w:bookmarkStart w:id="203" w:name="Tc_vVFuuMVf1EyyhaNttHXNKA_18_0"/>
      <w:bookmarkStart w:id="204" w:name="Tc__bJODzrR9UaG_vQRB0C7oQ_17_0"/>
      <w:bookmarkStart w:id="205" w:name="Tc_0yc7u5DxS0qr2ChNX1iKEg_16_0"/>
      <w:bookmarkStart w:id="206" w:name="Tc_fCZcSxp2nEOLBVq0lgyQvQ_15_0"/>
      <w:bookmarkStart w:id="207" w:name="Tc_nhvQ5UrbikSpHeduTUWNLw_14_0"/>
      <w:bookmarkStart w:id="208" w:name="Tc_ZGAiZvscqki_UJA5N42D6Q_13_0"/>
      <w:bookmarkStart w:id="209" w:name="Tc_-PvHGNl1o0CU2H5sGyyr7A_12_0"/>
      <w:bookmarkStart w:id="210" w:name="Tc_XaL2Ky9TYkqk_0fEJsgMdw_11_0"/>
      <w:bookmarkStart w:id="211" w:name="Tc_nQsu3tsSzUimVEOOUcpnUQ_10_0"/>
      <w:bookmarkStart w:id="212" w:name="Tc_qO3WnyvQE0KAMrjv8wlhlQ_9_0"/>
      <w:bookmarkStart w:id="213" w:name="Tc_yQNoC4YEA0ixNGZ1KC9YFg_8_0"/>
      <w:bookmarkStart w:id="214" w:name="Tc_0C71g0HC_UamoN2KJsEl7Q_7_0"/>
      <w:bookmarkStart w:id="215" w:name="Tc_HZkHrP-BpEmmRV07oIYPGg_6_0"/>
      <w:bookmarkStart w:id="216" w:name="Tc_GXMC9rDkskCd5R0PQDakQA_5_0"/>
      <w:bookmarkStart w:id="217" w:name="Tc_OZzyZGJnmUSY0qfdh_4SSA_4_11"/>
      <w:bookmarkStart w:id="218" w:name="Tc_ElwBLsTDT02WyGbvSNeLWA_4_8"/>
      <w:bookmarkStart w:id="219" w:name="Tc_yW5rO-4MSEyO-tps1mad-g_4_5"/>
      <w:bookmarkStart w:id="220" w:name="Tc_nGaLj0P-SUStx0fjm8QiMg_4_2"/>
      <w:bookmarkStart w:id="221" w:name="Tc_Y0P6bSQsdEmZiM39hFVGVg_4_0"/>
      <w:bookmarkStart w:id="222" w:name="Tc_H1l72g-hOk6jesLNM00XRA_3_11"/>
      <w:bookmarkStart w:id="223" w:name="Tc_tln84T8GbEmunag4FnpPsA_3_8"/>
      <w:bookmarkStart w:id="224" w:name="Tc_GfMXf_ATBEiLd5mdsWxdaQ_3_5"/>
      <w:bookmarkStart w:id="225" w:name="Tc_tbeTrI4LEk69sX5np243ig_3_2"/>
      <w:bookmarkStart w:id="226" w:name="Tc_kd9pY5nPsEq2VNE4IJBMuQ_2_8"/>
      <w:bookmarkStart w:id="227" w:name="Tc_dwSAkA2V50m_eHC7PUlrLQ_2_2"/>
      <w:bookmarkStart w:id="228" w:name="Tc_HI-zmu5n_Ue9ovNuzIjuQA_1_8"/>
      <w:bookmarkStart w:id="229" w:name="Tc_veihy0CcUUOcv6JwLo_rJg_1_2"/>
      <w:bookmarkStart w:id="230" w:name="_4043589a_27c8_4b4f_aa47_1d2537520a3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10205" w:type="dxa"/>
        <w:jc w:val="left"/>
        <w:tblInd w:w="0" w:type="dxa"/>
        <w:tblLayout w:type="fixed"/>
        <w:tblCellMar>
          <w:top w:w="0" w:type="dxa"/>
          <w:left w:w="0" w:type="dxa"/>
          <w:bottom w:w="0" w:type="dxa"/>
          <w:right w:w="0" w:type="dxa"/>
        </w:tblCellMar>
      </w:tblPr>
      <w:tblGrid>
        <w:gridCol w:w="4062"/>
        <w:gridCol w:w="346"/>
        <w:gridCol w:w="211"/>
        <w:gridCol w:w="931"/>
        <w:gridCol w:w="346"/>
        <w:gridCol w:w="211"/>
        <w:gridCol w:w="931"/>
        <w:gridCol w:w="346"/>
        <w:gridCol w:w="211"/>
        <w:gridCol w:w="931"/>
        <w:gridCol w:w="346"/>
        <w:gridCol w:w="211"/>
        <w:gridCol w:w="931"/>
        <w:gridCol w:w="191"/>
      </w:tblGrid>
      <w:tr>
        <w:trPr/>
        <w:tc>
          <w:tcPr>
            <w:tcW w:w="4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79370" cy="175260"/>
                      <wp:effectExtent l="0" t="0" r="0" b="0"/>
                      <wp:wrapNone/>
                      <wp:docPr id="12" name="Frame12"/>
                      <a:graphic xmlns:a="http://schemas.openxmlformats.org/drawingml/2006/main">
                        <a:graphicData uri="http://schemas.microsoft.com/office/word/2010/wordprocessingShape">
                          <wps:wsp>
                            <wps:cNvSpPr txBox="1"/>
                            <wps:spPr>
                              <a:xfrm>
                                <a:off x="0" y="0"/>
                                <a:ext cx="2579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1"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4"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6,455,574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2,831,820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4,934,390</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934,482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1,521,184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634,919</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887,845</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(19,934)</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(12,891)</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183,202</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35,379</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31" w:name="_e0c68d33_9de8_4ea0_adb1_29f7aa0321ba"/>
      <w:bookmarkEnd w:id="231"/>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232" w:name="STATEMENTSOFSTOCKHOLDERSEQUITY_584218"/>
      <w:bookmarkEnd w:id="232"/>
      <w:r>
        <w:rPr>
          <w:rFonts w:ascii="Times New Roman;Times;serif" w:hAnsi="Times New Roman;Times;serif"/>
          <w:b/>
          <w:sz w:val="20"/>
        </w:rPr>
        <w:t>CONSOLIDATED STATEMENTS OF STOCKHOLDERS’ EQUITY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3" w:name="Tc_ulDrzGUVyE-v_-RQVT7qOQ_33_18"/>
      <w:bookmarkStart w:id="234" w:name="Tc_ZadZm_1CQ0-7cEKGVNJbhQ_33_15"/>
      <w:bookmarkStart w:id="235" w:name="Tc_Z6loFUqjH0m7aur5wiBRNw_33_12"/>
      <w:bookmarkStart w:id="236" w:name="Tc_oBiHT4ovbESsQgIRzBM_ew_33_9"/>
      <w:bookmarkStart w:id="237" w:name="Tc_7zElEEYwtE6iae1FULcBmw_33_4"/>
      <w:bookmarkStart w:id="238" w:name="Tc_wrFMjerZFEqqB8oo-QziHQ_33_0"/>
      <w:bookmarkStart w:id="239" w:name="Tc_ibsv8fmgwUSwwwi-81HuTQ_32_16"/>
      <w:bookmarkStart w:id="240" w:name="Tc__44lO-_I70G_aCNRQ0OZxg_32_13"/>
      <w:bookmarkStart w:id="241" w:name="Tc_enNxH1GdKku-N43UKZ0x6A_32_5"/>
      <w:bookmarkStart w:id="242" w:name="Tc_xCH300STNUKlecxPqhQMvw_32_2"/>
      <w:bookmarkStart w:id="243" w:name="Tc_PYmMaRTS4UW-7E_qmau1Lw_32_0"/>
      <w:bookmarkStart w:id="244" w:name="Tc_eUIU1cg0KUy_PkBVgqcdFw_31_13"/>
      <w:bookmarkStart w:id="245" w:name="Tc_xPo6U_qReEWNoZwD6f_efA_31_10"/>
      <w:bookmarkStart w:id="246" w:name="Tc_xE8GcmzlKEeWjRtD_4CwLA_31_7"/>
      <w:bookmarkStart w:id="247" w:name="Tc_Fnvro5rSvU2uokjz6sbqOg_31_5"/>
      <w:bookmarkStart w:id="248" w:name="Tc_Mc8sijWxKUCYCaEMHF7GMw_31_2"/>
      <w:bookmarkStart w:id="249" w:name="Tc_Gt9YTz8IbEaeIpOvdCoioA_31_0"/>
      <w:bookmarkStart w:id="250" w:name="Tc_ocG6TWVcFkSftvm5igrBkw_30_16"/>
      <w:bookmarkStart w:id="251" w:name="Tc_5BmNBFe-w0WxUm-ni_7BWQ_30_10"/>
      <w:bookmarkStart w:id="252" w:name="Tc_OMtZkbTwB0iRyttRSy2JSA_30_7"/>
      <w:bookmarkStart w:id="253" w:name="Tc_-Kte1MRkPUedfmNrmc5qqA_30_5"/>
      <w:bookmarkStart w:id="254" w:name="Tc_-6XiNctBK0CMmOv1U5qcug_30_2"/>
      <w:bookmarkStart w:id="255" w:name="Tc_ji_gtH-Oek-GpQNCnglqRw_30_0"/>
      <w:bookmarkStart w:id="256" w:name="Tc_M2QYn6aSjkCvX4aO_zl-4Q_29_16"/>
      <w:bookmarkStart w:id="257" w:name="Tc_6bg3OwRF0E--tP6EXmXGJQ_29_13"/>
      <w:bookmarkStart w:id="258" w:name="Tc_1N5mRZtUek-wETLfofT_xg_29_5"/>
      <w:bookmarkStart w:id="259" w:name="Tc_d1ItxjkPqUOQIh7MeB9wWA_29_2"/>
      <w:bookmarkStart w:id="260" w:name="Tc_wbhhXpt0WUe54iIoQWEApw_29_0"/>
      <w:bookmarkStart w:id="261" w:name="Tc_MnadXV2xdkC3w75XdWtyAA_28_19"/>
      <w:bookmarkStart w:id="262" w:name="Tc_j_y-1PQZZ0q5krcwLt5kow_28_16"/>
      <w:bookmarkStart w:id="263" w:name="Tc_ycBjuMxS40Gs4B39HnCVIg_28_5"/>
      <w:bookmarkStart w:id="264" w:name="Tc_M_y9i2hCVUK-m_b-vvpPDw_28_2"/>
      <w:bookmarkStart w:id="265" w:name="Tc_wGIRMrRsMkSQy41TSO96_g_28_0"/>
      <w:bookmarkStart w:id="266" w:name="Tc_n1umrc9c8ku9ENAVAw9VPQ_27_16"/>
      <w:bookmarkStart w:id="267" w:name="Tc_zivIsqoMwkmH1piyPyinUw_27_5"/>
      <w:bookmarkStart w:id="268" w:name="Tc_vHC0jmHxBEqNhD7w5tBdTQ_27_2"/>
      <w:bookmarkStart w:id="269" w:name="Tc__l9asqmMIEikY3QIj2zOVQ_27_0"/>
      <w:bookmarkStart w:id="270" w:name="Tc_z6Vg4Z73VEiiceMXaX-W_g_26_0"/>
      <w:bookmarkStart w:id="271" w:name="Tc_TmxL8m-ihkegT_jIhy32vQ_25_13"/>
      <w:bookmarkStart w:id="272" w:name="Tc_c7fgTKdj_0Sp72cagaYtbw_25_10"/>
      <w:bookmarkStart w:id="273" w:name="Tc_V5q44s5Wd0-bfDTfTRvCsQ_25_7"/>
      <w:bookmarkStart w:id="274" w:name="Tc_JZvDtRE1_0WM8vUmc7HkqA_25_5"/>
      <w:bookmarkStart w:id="275" w:name="Tc_BO8fMF411kqab2QKZd3ncQ_25_2"/>
      <w:bookmarkStart w:id="276" w:name="Tc_7TD1YrmbBUKV369qVUGgrQ_25_0"/>
      <w:bookmarkStart w:id="277" w:name="Tc_oHX2ngsTZku9mLEp9iiMcA_24_0"/>
      <w:bookmarkStart w:id="278" w:name="Tc_tig-9Cg4REyCBNozjwg__w_23_16"/>
      <w:bookmarkStart w:id="279" w:name="Tc_P9EMvjnCj0msy66zxEk6eg_23_13"/>
      <w:bookmarkStart w:id="280" w:name="Tc_3bZX9REGdEGtLZxIvLY59A_23_5"/>
      <w:bookmarkStart w:id="281" w:name="Tc_khheU0M_mk6xPjJ4FkHHsA_23_2"/>
      <w:bookmarkStart w:id="282" w:name="Tc_ul7reNmKIkO8Xo_OPUnXLQ_23_0"/>
      <w:bookmarkStart w:id="283" w:name="Tc_zz4mJALHT0eDUWhMjfQmUg_22_13"/>
      <w:bookmarkStart w:id="284" w:name="Tc_HnN2Dhstck-xDhw8x7Sovg_22_10"/>
      <w:bookmarkStart w:id="285" w:name="Tc_tdKmrD-R_kezpEyaytz6BQ_22_7"/>
      <w:bookmarkStart w:id="286" w:name="Tc_j7V6_9qu0ES7UClD5pvX-A_22_5"/>
      <w:bookmarkStart w:id="287" w:name="Tc_8ZeiCas9EE6zrpLaosaRNg_22_2"/>
      <w:bookmarkStart w:id="288" w:name="Tc_Ch_h4_lerUKLK1Au-5YOWg_22_0"/>
      <w:bookmarkStart w:id="289" w:name="Tc_j9AQWay290unxVGTcAeAvA_21_16"/>
      <w:bookmarkStart w:id="290" w:name="Tc_FN0sd5nQE0WMvethhqgOuQ_21_10"/>
      <w:bookmarkStart w:id="291" w:name="Tc_YrJsjRmXEUSRn0sytbhuHA_21_7"/>
      <w:bookmarkStart w:id="292" w:name="Tc_bQfjiZqB_0qdf6L0cqTAuw_21_5"/>
      <w:bookmarkStart w:id="293" w:name="Tc_UaHsag9FIE-9gTZSoOvBXw_21_2"/>
      <w:bookmarkStart w:id="294" w:name="Tc_9qHCDECrfUaYAgq-fLV5Jw_21_0"/>
      <w:bookmarkStart w:id="295" w:name="Tc_uQQcgifp9kC6balKK5ryrw_20_16"/>
      <w:bookmarkStart w:id="296" w:name="Tc_3sOiqjnjdUSvleJgGkszwQ_20_13"/>
      <w:bookmarkStart w:id="297" w:name="Tc_41RA5rdLs0yVyrKmwnO70g_20_5"/>
      <w:bookmarkStart w:id="298" w:name="Tc_aapWwmsHQE2XIZh_i_nTxQ_20_2"/>
      <w:bookmarkStart w:id="299" w:name="Tc_jGWFr779AkufA-rmcAt7oQ_20_0"/>
      <w:bookmarkStart w:id="300" w:name="Tc_6trTeBNuxk2x9NUzN4oNUQ_19_19"/>
      <w:bookmarkStart w:id="301" w:name="Tc_0UF3f4mfsUaijbeMMvqUrQ_19_16"/>
      <w:bookmarkStart w:id="302" w:name="Tc_jtLgS4pHOUq-R0Oym0xAJA_19_5"/>
      <w:bookmarkStart w:id="303" w:name="Tc_2zZ262j70U6x6SC_Adwc9A_19_2"/>
      <w:bookmarkStart w:id="304" w:name="Tc_EEIU8kz3nUScSfvafX_oPw_19_0"/>
      <w:bookmarkStart w:id="305" w:name="Tc_31zuAN1uQE-VJZ5BEGUKKg_18_16"/>
      <w:bookmarkStart w:id="306" w:name="Tc_F7qKhtr7-024g4YtrPdt5g_18_5"/>
      <w:bookmarkStart w:id="307" w:name="Tc_TP0gKfcsB0OfVgHzFS06YA_18_2"/>
      <w:bookmarkStart w:id="308" w:name="Tc_VOhCUC-dAUWBxXef27Hh9g_18_0"/>
      <w:bookmarkStart w:id="309" w:name="Tc_fEQsJXc5PU2ss73lhBv8VA_17_0"/>
      <w:bookmarkStart w:id="310" w:name="Tc_AvNB-A3PrU64oALS3-ESzw_16_13"/>
      <w:bookmarkStart w:id="311" w:name="Tc_zTwi0Hrt7k2vCUttgHiGLg_16_10"/>
      <w:bookmarkStart w:id="312" w:name="Tc_YoNTfcFgok-974yFvPssxg_16_7"/>
      <w:bookmarkStart w:id="313" w:name="Tc_r1zJHc24ukeHLIE5vw89BA_16_5"/>
      <w:bookmarkStart w:id="314" w:name="Tc_ABmkeXbydU2xW4idrhzDwQ_16_2"/>
      <w:bookmarkStart w:id="315" w:name="Tc_BG3Au5M-_0OlIqHOTg8wXg_16_0"/>
      <w:bookmarkStart w:id="316" w:name="Tc_8HHa4IkDX0WkecT3RyRxEg_15_0"/>
      <w:bookmarkStart w:id="317" w:name="Tc_I-tA2nvs9ky4frJsdkp3Rg_14_16"/>
      <w:bookmarkStart w:id="318" w:name="Tc_EE9tFGwc_U2xLixTlpxpIA_14_13"/>
      <w:bookmarkStart w:id="319" w:name="Tc_bSz0mEJVEEmaqM8EQty44Q_14_5"/>
      <w:bookmarkStart w:id="320" w:name="Tc_w2mk-J_l90GpZqmwxzJnDg_14_2"/>
      <w:bookmarkStart w:id="321" w:name="Tc_KaMDh7AslUeJZL12kzV34w_14_0"/>
      <w:bookmarkStart w:id="322" w:name="Tc_Q5Vgvfq41Ea9IfUn3DUw0g_13_13"/>
      <w:bookmarkStart w:id="323" w:name="Tc_VkKfQE9YUkWK3rtemA67Vg_13_10"/>
      <w:bookmarkStart w:id="324" w:name="Tc_ysY5lued7E6Ga5gz4zeqMA_13_7"/>
      <w:bookmarkStart w:id="325" w:name="Tc_QhQk360FEkCJ7fS3r-uUfA_13_5"/>
      <w:bookmarkStart w:id="326" w:name="Tc_m5WWYvSwzkWcWE0V0fTc-g_13_2"/>
      <w:bookmarkStart w:id="327" w:name="Tc_opvGknMYl0e42ucofDQtQw_13_0"/>
      <w:bookmarkStart w:id="328" w:name="Tc_rZ35wY6u90mEMmUp3lnnNA_12_16"/>
      <w:bookmarkStart w:id="329" w:name="Tc__xOVi99oNEKCZ41UWPtXqQ_12_10"/>
      <w:bookmarkStart w:id="330" w:name="Tc_j6xVA2JcGEmE7cMesNuwHQ_12_7"/>
      <w:bookmarkStart w:id="331" w:name="Tc_-r4rbc2q50GgGOlrPMct1w_12_5"/>
      <w:bookmarkStart w:id="332" w:name="Tc_59dg2xOqq0O9T3GhErROrQ_12_2"/>
      <w:bookmarkStart w:id="333" w:name="Tc_uUk9pHXVX02bpJebVH_wUw_12_0"/>
      <w:bookmarkStart w:id="334" w:name="Tc_yvMQUCvj-ky1MX7vWcRClw_11_16"/>
      <w:bookmarkStart w:id="335" w:name="Tc_rcOICGHuwEGgS8HWH2l9WA_11_13"/>
      <w:bookmarkStart w:id="336" w:name="Tc_2CanM9iP4U2WLDmdRGiXOA_11_5"/>
      <w:bookmarkStart w:id="337" w:name="Tc_D9ubwtGotEKpkkftAvhqXg_11_2"/>
      <w:bookmarkStart w:id="338" w:name="Tc_0Ur8vjuIB0SGVwq4FT3P9Q_11_0"/>
      <w:bookmarkStart w:id="339" w:name="Tc_35KMyYobuUOLXnzJrUwrIg_10_16"/>
      <w:bookmarkStart w:id="340" w:name="Tc_e1xR6aTdw0OoTWcwibBuSQ_10_5"/>
      <w:bookmarkStart w:id="341" w:name="Tc_EowBA9azLEutj-FAJe_btw_10_2"/>
      <w:bookmarkStart w:id="342" w:name="Tc_cpAVbDykYUW8WxM-YEhygQ_10_0"/>
      <w:bookmarkStart w:id="343" w:name="Tc_yw8G2WSv90-sYU5eN8K89Q_9_19"/>
      <w:bookmarkStart w:id="344" w:name="Tc_ImcoAdZTREq6fkwY5QwCLA_9_16"/>
      <w:bookmarkStart w:id="345" w:name="Tc_3tywgol3JUe-DMyBBUD_YA_9_13"/>
      <w:bookmarkStart w:id="346" w:name="Tc_UcNRndwWkEyvsPho6tbfvA_9_10"/>
      <w:bookmarkStart w:id="347" w:name="Tc_MTyAA5ForUq-Q76___dFfg_9_7"/>
      <w:bookmarkStart w:id="348" w:name="Tc_mSXxF38mLEmkDwVCDpfuAQ_9_5"/>
      <w:bookmarkStart w:id="349" w:name="Tc_CNmPNS-1bE20700t6uoUMA_9_2"/>
      <w:bookmarkStart w:id="350" w:name="Tc_CRBi0sZpw0al0KyQrW5dlQ_9_0"/>
      <w:bookmarkStart w:id="351" w:name="Tc_wwFtrE64m06KC-Y-r46JWQ_8_0"/>
      <w:bookmarkStart w:id="352" w:name="Tc_dHd4FLJgNUSMPscK3efVjg_7_13"/>
      <w:bookmarkStart w:id="353" w:name="Tc_U71DlrX9sEGoD4B3bzS98A_7_10"/>
      <w:bookmarkStart w:id="354" w:name="Tc_uvzNdMzzA0arb0vSTNsPQg_7_7"/>
      <w:bookmarkStart w:id="355" w:name="Tc_fTXSY4IOQUOt5XhkMG7TOA_7_5"/>
      <w:bookmarkStart w:id="356" w:name="Tc_gyZoEq7AN0G0GnFAm94aLA_7_2"/>
      <w:bookmarkStart w:id="357" w:name="Tc_cXoOpv_McUiqGhzkJy1QCQ_7_0"/>
      <w:bookmarkStart w:id="358" w:name="Tc_lQCFiYEqCUq9M1nLYutoAA_6_18"/>
      <w:bookmarkStart w:id="359" w:name="Tc_uYQBIcjLykqF1TpAowPu1Q_6_15"/>
      <w:bookmarkStart w:id="360" w:name="Tc_YFbfHO-dy06I69gouivk5w_6_12"/>
      <w:bookmarkStart w:id="361" w:name="Tc_ZAeDIGzb0ky4ZcExRs2XAQ_6_9"/>
      <w:bookmarkStart w:id="362" w:name="Tc_w4Mufpy8WUOlaUcfIU_pZg_6_4"/>
      <w:bookmarkStart w:id="363" w:name="Tc_x-yrFyhZYUezpam422envw_6_0"/>
      <w:bookmarkStart w:id="364" w:name="Tc_Qz5qB0WnDkadSiJjYLDI1A_5_18"/>
      <w:bookmarkStart w:id="365" w:name="Tc_5nVr9BUYeUOzVIADkI0a_A_5_15"/>
      <w:bookmarkStart w:id="366" w:name="Tc_Xt-P0YPgS0GbCCad_FJvyw_5_12"/>
      <w:bookmarkStart w:id="367" w:name="Tc_jGUXSBPNNUCr1IqrRIFNjA_5_9"/>
      <w:bookmarkStart w:id="368" w:name="Tc_8p9qAfxzcUK41yGHYImJDQ_5_7"/>
      <w:bookmarkStart w:id="369" w:name="Tc_TUEG3D67PUyGV66OxnUUNw_5_4"/>
      <w:bookmarkStart w:id="370" w:name="Tc_qgx-hyKQEkeb3B_NzISArA_5_2"/>
      <w:bookmarkStart w:id="371" w:name="Tc_Q_VmjZTI7ky0qRUxFpezYQ_4_18"/>
      <w:bookmarkStart w:id="372" w:name="Tc_UTRH_8T9KU2spaTAf5KliA_4_15"/>
      <w:bookmarkStart w:id="373" w:name="Tc_j_44FiEAfU-7rqDSjWPGCg_4_12"/>
      <w:bookmarkStart w:id="374" w:name="Tc_EzLdr4NTRECevvzYMXzwHg_4_7"/>
      <w:bookmarkStart w:id="375" w:name="Tc_R4mmz2nU-kelS_9E63zLSA_4_2"/>
      <w:bookmarkStart w:id="376" w:name="Tc_EThC-WBcfkuCPKUYOJGeCg_3_18"/>
      <w:bookmarkStart w:id="377" w:name="Tc_47KcIJqOT0KPoNO0r6owTw_3_12"/>
      <w:bookmarkStart w:id="378" w:name="Tc_Tafj3LGhe06RKBCXZoby7A_2_2"/>
      <w:bookmarkStart w:id="379" w:name="Tc_pqyafVkSd0qk0va43PhFTw_1_2"/>
      <w:bookmarkStart w:id="380" w:name="_8f8f0339_4bf1_43c9_9bcd_938aadd5e6e0"/>
      <w:bookmarkStart w:id="381" w:name="Tc_ulDrzGUVyE-v_-RQVT7qOQ_33_18"/>
      <w:bookmarkStart w:id="382" w:name="Tc_ZadZm_1CQ0-7cEKGVNJbhQ_33_15"/>
      <w:bookmarkStart w:id="383" w:name="Tc_Z6loFUqjH0m7aur5wiBRNw_33_12"/>
      <w:bookmarkStart w:id="384" w:name="Tc_oBiHT4ovbESsQgIRzBM_ew_33_9"/>
      <w:bookmarkStart w:id="385" w:name="Tc_7zElEEYwtE6iae1FULcBmw_33_4"/>
      <w:bookmarkStart w:id="386" w:name="Tc_wrFMjerZFEqqB8oo-QziHQ_33_0"/>
      <w:bookmarkStart w:id="387" w:name="Tc_ibsv8fmgwUSwwwi-81HuTQ_32_16"/>
      <w:bookmarkStart w:id="388" w:name="Tc__44lO-_I70G_aCNRQ0OZxg_32_13"/>
      <w:bookmarkStart w:id="389" w:name="Tc_enNxH1GdKku-N43UKZ0x6A_32_5"/>
      <w:bookmarkStart w:id="390" w:name="Tc_xCH300STNUKlecxPqhQMvw_32_2"/>
      <w:bookmarkStart w:id="391" w:name="Tc_PYmMaRTS4UW-7E_qmau1Lw_32_0"/>
      <w:bookmarkStart w:id="392" w:name="Tc_eUIU1cg0KUy_PkBVgqcdFw_31_13"/>
      <w:bookmarkStart w:id="393" w:name="Tc_xPo6U_qReEWNoZwD6f_efA_31_10"/>
      <w:bookmarkStart w:id="394" w:name="Tc_xE8GcmzlKEeWjRtD_4CwLA_31_7"/>
      <w:bookmarkStart w:id="395" w:name="Tc_Fnvro5rSvU2uokjz6sbqOg_31_5"/>
      <w:bookmarkStart w:id="396" w:name="Tc_Mc8sijWxKUCYCaEMHF7GMw_31_2"/>
      <w:bookmarkStart w:id="397" w:name="Tc_Gt9YTz8IbEaeIpOvdCoioA_31_0"/>
      <w:bookmarkStart w:id="398" w:name="Tc_ocG6TWVcFkSftvm5igrBkw_30_16"/>
      <w:bookmarkStart w:id="399" w:name="Tc_5BmNBFe-w0WxUm-ni_7BWQ_30_10"/>
      <w:bookmarkStart w:id="400" w:name="Tc_OMtZkbTwB0iRyttRSy2JSA_30_7"/>
      <w:bookmarkStart w:id="401" w:name="Tc_-Kte1MRkPUedfmNrmc5qqA_30_5"/>
      <w:bookmarkStart w:id="402" w:name="Tc_-6XiNctBK0CMmOv1U5qcug_30_2"/>
      <w:bookmarkStart w:id="403" w:name="Tc_ji_gtH-Oek-GpQNCnglqRw_30_0"/>
      <w:bookmarkStart w:id="404" w:name="Tc_M2QYn6aSjkCvX4aO_zl-4Q_29_16"/>
      <w:bookmarkStart w:id="405" w:name="Tc_6bg3OwRF0E--tP6EXmXGJQ_29_13"/>
      <w:bookmarkStart w:id="406" w:name="Tc_1N5mRZtUek-wETLfofT_xg_29_5"/>
      <w:bookmarkStart w:id="407" w:name="Tc_d1ItxjkPqUOQIh7MeB9wWA_29_2"/>
      <w:bookmarkStart w:id="408" w:name="Tc_wbhhXpt0WUe54iIoQWEApw_29_0"/>
      <w:bookmarkStart w:id="409" w:name="Tc_MnadXV2xdkC3w75XdWtyAA_28_19"/>
      <w:bookmarkStart w:id="410" w:name="Tc_j_y-1PQZZ0q5krcwLt5kow_28_16"/>
      <w:bookmarkStart w:id="411" w:name="Tc_ycBjuMxS40Gs4B39HnCVIg_28_5"/>
      <w:bookmarkStart w:id="412" w:name="Tc_M_y9i2hCVUK-m_b-vvpPDw_28_2"/>
      <w:bookmarkStart w:id="413" w:name="Tc_wGIRMrRsMkSQy41TSO96_g_28_0"/>
      <w:bookmarkStart w:id="414" w:name="Tc_n1umrc9c8ku9ENAVAw9VPQ_27_16"/>
      <w:bookmarkStart w:id="415" w:name="Tc_zivIsqoMwkmH1piyPyinUw_27_5"/>
      <w:bookmarkStart w:id="416" w:name="Tc_vHC0jmHxBEqNhD7w5tBdTQ_27_2"/>
      <w:bookmarkStart w:id="417" w:name="Tc__l9asqmMIEikY3QIj2zOVQ_27_0"/>
      <w:bookmarkStart w:id="418" w:name="Tc_z6Vg4Z73VEiiceMXaX-W_g_26_0"/>
      <w:bookmarkStart w:id="419" w:name="Tc_TmxL8m-ihkegT_jIhy32vQ_25_13"/>
      <w:bookmarkStart w:id="420" w:name="Tc_c7fgTKdj_0Sp72cagaYtbw_25_10"/>
      <w:bookmarkStart w:id="421" w:name="Tc_V5q44s5Wd0-bfDTfTRvCsQ_25_7"/>
      <w:bookmarkStart w:id="422" w:name="Tc_JZvDtRE1_0WM8vUmc7HkqA_25_5"/>
      <w:bookmarkStart w:id="423" w:name="Tc_BO8fMF411kqab2QKZd3ncQ_25_2"/>
      <w:bookmarkStart w:id="424" w:name="Tc_7TD1YrmbBUKV369qVUGgrQ_25_0"/>
      <w:bookmarkStart w:id="425" w:name="Tc_oHX2ngsTZku9mLEp9iiMcA_24_0"/>
      <w:bookmarkStart w:id="426" w:name="Tc_tig-9Cg4REyCBNozjwg__w_23_16"/>
      <w:bookmarkStart w:id="427" w:name="Tc_P9EMvjnCj0msy66zxEk6eg_23_13"/>
      <w:bookmarkStart w:id="428" w:name="Tc_3bZX9REGdEGtLZxIvLY59A_23_5"/>
      <w:bookmarkStart w:id="429" w:name="Tc_khheU0M_mk6xPjJ4FkHHsA_23_2"/>
      <w:bookmarkStart w:id="430" w:name="Tc_ul7reNmKIkO8Xo_OPUnXLQ_23_0"/>
      <w:bookmarkStart w:id="431" w:name="Tc_zz4mJALHT0eDUWhMjfQmUg_22_13"/>
      <w:bookmarkStart w:id="432" w:name="Tc_HnN2Dhstck-xDhw8x7Sovg_22_10"/>
      <w:bookmarkStart w:id="433" w:name="Tc_tdKmrD-R_kezpEyaytz6BQ_22_7"/>
      <w:bookmarkStart w:id="434" w:name="Tc_j7V6_9qu0ES7UClD5pvX-A_22_5"/>
      <w:bookmarkStart w:id="435" w:name="Tc_8ZeiCas9EE6zrpLaosaRNg_22_2"/>
      <w:bookmarkStart w:id="436" w:name="Tc_Ch_h4_lerUKLK1Au-5YOWg_22_0"/>
      <w:bookmarkStart w:id="437" w:name="Tc_j9AQWay290unxVGTcAeAvA_21_16"/>
      <w:bookmarkStart w:id="438" w:name="Tc_FN0sd5nQE0WMvethhqgOuQ_21_10"/>
      <w:bookmarkStart w:id="439" w:name="Tc_YrJsjRmXEUSRn0sytbhuHA_21_7"/>
      <w:bookmarkStart w:id="440" w:name="Tc_bQfjiZqB_0qdf6L0cqTAuw_21_5"/>
      <w:bookmarkStart w:id="441" w:name="Tc_UaHsag9FIE-9gTZSoOvBXw_21_2"/>
      <w:bookmarkStart w:id="442" w:name="Tc_9qHCDECrfUaYAgq-fLV5Jw_21_0"/>
      <w:bookmarkStart w:id="443" w:name="Tc_uQQcgifp9kC6balKK5ryrw_20_16"/>
      <w:bookmarkStart w:id="444" w:name="Tc_3sOiqjnjdUSvleJgGkszwQ_20_13"/>
      <w:bookmarkStart w:id="445" w:name="Tc_41RA5rdLs0yVyrKmwnO70g_20_5"/>
      <w:bookmarkStart w:id="446" w:name="Tc_aapWwmsHQE2XIZh_i_nTxQ_20_2"/>
      <w:bookmarkStart w:id="447" w:name="Tc_jGWFr779AkufA-rmcAt7oQ_20_0"/>
      <w:bookmarkStart w:id="448" w:name="Tc_6trTeBNuxk2x9NUzN4oNUQ_19_19"/>
      <w:bookmarkStart w:id="449" w:name="Tc_0UF3f4mfsUaijbeMMvqUrQ_19_16"/>
      <w:bookmarkStart w:id="450" w:name="Tc_jtLgS4pHOUq-R0Oym0xAJA_19_5"/>
      <w:bookmarkStart w:id="451" w:name="Tc_2zZ262j70U6x6SC_Adwc9A_19_2"/>
      <w:bookmarkStart w:id="452" w:name="Tc_EEIU8kz3nUScSfvafX_oPw_19_0"/>
      <w:bookmarkStart w:id="453" w:name="Tc_31zuAN1uQE-VJZ5BEGUKKg_18_16"/>
      <w:bookmarkStart w:id="454" w:name="Tc_F7qKhtr7-024g4YtrPdt5g_18_5"/>
      <w:bookmarkStart w:id="455" w:name="Tc_TP0gKfcsB0OfVgHzFS06YA_18_2"/>
      <w:bookmarkStart w:id="456" w:name="Tc_VOhCUC-dAUWBxXef27Hh9g_18_0"/>
      <w:bookmarkStart w:id="457" w:name="Tc_fEQsJXc5PU2ss73lhBv8VA_17_0"/>
      <w:bookmarkStart w:id="458" w:name="Tc_AvNB-A3PrU64oALS3-ESzw_16_13"/>
      <w:bookmarkStart w:id="459" w:name="Tc_zTwi0Hrt7k2vCUttgHiGLg_16_10"/>
      <w:bookmarkStart w:id="460" w:name="Tc_YoNTfcFgok-974yFvPssxg_16_7"/>
      <w:bookmarkStart w:id="461" w:name="Tc_r1zJHc24ukeHLIE5vw89BA_16_5"/>
      <w:bookmarkStart w:id="462" w:name="Tc_ABmkeXbydU2xW4idrhzDwQ_16_2"/>
      <w:bookmarkStart w:id="463" w:name="Tc_BG3Au5M-_0OlIqHOTg8wXg_16_0"/>
      <w:bookmarkStart w:id="464" w:name="Tc_8HHa4IkDX0WkecT3RyRxEg_15_0"/>
      <w:bookmarkStart w:id="465" w:name="Tc_I-tA2nvs9ky4frJsdkp3Rg_14_16"/>
      <w:bookmarkStart w:id="466" w:name="Tc_EE9tFGwc_U2xLixTlpxpIA_14_13"/>
      <w:bookmarkStart w:id="467" w:name="Tc_bSz0mEJVEEmaqM8EQty44Q_14_5"/>
      <w:bookmarkStart w:id="468" w:name="Tc_w2mk-J_l90GpZqmwxzJnDg_14_2"/>
      <w:bookmarkStart w:id="469" w:name="Tc_KaMDh7AslUeJZL12kzV34w_14_0"/>
      <w:bookmarkStart w:id="470" w:name="Tc_Q5Vgvfq41Ea9IfUn3DUw0g_13_13"/>
      <w:bookmarkStart w:id="471" w:name="Tc_VkKfQE9YUkWK3rtemA67Vg_13_10"/>
      <w:bookmarkStart w:id="472" w:name="Tc_ysY5lued7E6Ga5gz4zeqMA_13_7"/>
      <w:bookmarkStart w:id="473" w:name="Tc_QhQk360FEkCJ7fS3r-uUfA_13_5"/>
      <w:bookmarkStart w:id="474" w:name="Tc_m5WWYvSwzkWcWE0V0fTc-g_13_2"/>
      <w:bookmarkStart w:id="475" w:name="Tc_opvGknMYl0e42ucofDQtQw_13_0"/>
      <w:bookmarkStart w:id="476" w:name="Tc_rZ35wY6u90mEMmUp3lnnNA_12_16"/>
      <w:bookmarkStart w:id="477" w:name="Tc__xOVi99oNEKCZ41UWPtXqQ_12_10"/>
      <w:bookmarkStart w:id="478" w:name="Tc_j6xVA2JcGEmE7cMesNuwHQ_12_7"/>
      <w:bookmarkStart w:id="479" w:name="Tc_-r4rbc2q50GgGOlrPMct1w_12_5"/>
      <w:bookmarkStart w:id="480" w:name="Tc_59dg2xOqq0O9T3GhErROrQ_12_2"/>
      <w:bookmarkStart w:id="481" w:name="Tc_uUk9pHXVX02bpJebVH_wUw_12_0"/>
      <w:bookmarkStart w:id="482" w:name="Tc_yvMQUCvj-ky1MX7vWcRClw_11_16"/>
      <w:bookmarkStart w:id="483" w:name="Tc_rcOICGHuwEGgS8HWH2l9WA_11_13"/>
      <w:bookmarkStart w:id="484" w:name="Tc_2CanM9iP4U2WLDmdRGiXOA_11_5"/>
      <w:bookmarkStart w:id="485" w:name="Tc_D9ubwtGotEKpkkftAvhqXg_11_2"/>
      <w:bookmarkStart w:id="486" w:name="Tc_0Ur8vjuIB0SGVwq4FT3P9Q_11_0"/>
      <w:bookmarkStart w:id="487" w:name="Tc_35KMyYobuUOLXnzJrUwrIg_10_16"/>
      <w:bookmarkStart w:id="488" w:name="Tc_e1xR6aTdw0OoTWcwibBuSQ_10_5"/>
      <w:bookmarkStart w:id="489" w:name="Tc_EowBA9azLEutj-FAJe_btw_10_2"/>
      <w:bookmarkStart w:id="490" w:name="Tc_cpAVbDykYUW8WxM-YEhygQ_10_0"/>
      <w:bookmarkStart w:id="491" w:name="Tc_yw8G2WSv90-sYU5eN8K89Q_9_19"/>
      <w:bookmarkStart w:id="492" w:name="Tc_ImcoAdZTREq6fkwY5QwCLA_9_16"/>
      <w:bookmarkStart w:id="493" w:name="Tc_3tywgol3JUe-DMyBBUD_YA_9_13"/>
      <w:bookmarkStart w:id="494" w:name="Tc_UcNRndwWkEyvsPho6tbfvA_9_10"/>
      <w:bookmarkStart w:id="495" w:name="Tc_MTyAA5ForUq-Q76___dFfg_9_7"/>
      <w:bookmarkStart w:id="496" w:name="Tc_mSXxF38mLEmkDwVCDpfuAQ_9_5"/>
      <w:bookmarkStart w:id="497" w:name="Tc_CNmPNS-1bE20700t6uoUMA_9_2"/>
      <w:bookmarkStart w:id="498" w:name="Tc_CRBi0sZpw0al0KyQrW5dlQ_9_0"/>
      <w:bookmarkStart w:id="499" w:name="Tc_wwFtrE64m06KC-Y-r46JWQ_8_0"/>
      <w:bookmarkStart w:id="500" w:name="Tc_dHd4FLJgNUSMPscK3efVjg_7_13"/>
      <w:bookmarkStart w:id="501" w:name="Tc_U71DlrX9sEGoD4B3bzS98A_7_10"/>
      <w:bookmarkStart w:id="502" w:name="Tc_uvzNdMzzA0arb0vSTNsPQg_7_7"/>
      <w:bookmarkStart w:id="503" w:name="Tc_fTXSY4IOQUOt5XhkMG7TOA_7_5"/>
      <w:bookmarkStart w:id="504" w:name="Tc_gyZoEq7AN0G0GnFAm94aLA_7_2"/>
      <w:bookmarkStart w:id="505" w:name="Tc_cXoOpv_McUiqGhzkJy1QCQ_7_0"/>
      <w:bookmarkStart w:id="506" w:name="Tc_lQCFiYEqCUq9M1nLYutoAA_6_18"/>
      <w:bookmarkStart w:id="507" w:name="Tc_uYQBIcjLykqF1TpAowPu1Q_6_15"/>
      <w:bookmarkStart w:id="508" w:name="Tc_YFbfHO-dy06I69gouivk5w_6_12"/>
      <w:bookmarkStart w:id="509" w:name="Tc_ZAeDIGzb0ky4ZcExRs2XAQ_6_9"/>
      <w:bookmarkStart w:id="510" w:name="Tc_w4Mufpy8WUOlaUcfIU_pZg_6_4"/>
      <w:bookmarkStart w:id="511" w:name="Tc_x-yrFyhZYUezpam422envw_6_0"/>
      <w:bookmarkStart w:id="512" w:name="Tc_Qz5qB0WnDkadSiJjYLDI1A_5_18"/>
      <w:bookmarkStart w:id="513" w:name="Tc_5nVr9BUYeUOzVIADkI0a_A_5_15"/>
      <w:bookmarkStart w:id="514" w:name="Tc_Xt-P0YPgS0GbCCad_FJvyw_5_12"/>
      <w:bookmarkStart w:id="515" w:name="Tc_jGUXSBPNNUCr1IqrRIFNjA_5_9"/>
      <w:bookmarkStart w:id="516" w:name="Tc_8p9qAfxzcUK41yGHYImJDQ_5_7"/>
      <w:bookmarkStart w:id="517" w:name="Tc_TUEG3D67PUyGV66OxnUUNw_5_4"/>
      <w:bookmarkStart w:id="518" w:name="Tc_qgx-hyKQEkeb3B_NzISArA_5_2"/>
      <w:bookmarkStart w:id="519" w:name="Tc_Q_VmjZTI7ky0qRUxFpezYQ_4_18"/>
      <w:bookmarkStart w:id="520" w:name="Tc_UTRH_8T9KU2spaTAf5KliA_4_15"/>
      <w:bookmarkStart w:id="521" w:name="Tc_j_44FiEAfU-7rqDSjWPGCg_4_12"/>
      <w:bookmarkStart w:id="522" w:name="Tc_EzLdr4NTRECevvzYMXzwHg_4_7"/>
      <w:bookmarkStart w:id="523" w:name="Tc_R4mmz2nU-kelS_9E63zLSA_4_2"/>
      <w:bookmarkStart w:id="524" w:name="Tc_EThC-WBcfkuCPKUYOJGeCg_3_18"/>
      <w:bookmarkStart w:id="525" w:name="Tc_47KcIJqOT0KPoNO0r6owTw_3_12"/>
      <w:bookmarkStart w:id="526" w:name="Tc_Tafj3LGhe06RKBCXZoby7A_2_2"/>
      <w:bookmarkStart w:id="527" w:name="Tc_pqyafVkSd0qk0va43PhFTw_1_2"/>
      <w:bookmarkStart w:id="528" w:name="_8f8f0339_4bf1_43c9_9bcd_938aadd5e6e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tbl>
      <w:tblPr>
        <w:tblW w:w="10205" w:type="dxa"/>
        <w:jc w:val="left"/>
        <w:tblInd w:w="0" w:type="dxa"/>
        <w:tblLayout w:type="fixed"/>
        <w:tblCellMar>
          <w:top w:w="0" w:type="dxa"/>
          <w:left w:w="0" w:type="dxa"/>
          <w:bottom w:w="0" w:type="dxa"/>
          <w:right w:w="0" w:type="dxa"/>
        </w:tblCellMar>
      </w:tblPr>
      <w:tblGrid>
        <w:gridCol w:w="2119"/>
        <w:gridCol w:w="346"/>
        <w:gridCol w:w="766"/>
        <w:gridCol w:w="346"/>
        <w:gridCol w:w="196"/>
        <w:gridCol w:w="375"/>
        <w:gridCol w:w="346"/>
        <w:gridCol w:w="756"/>
        <w:gridCol w:w="346"/>
        <w:gridCol w:w="181"/>
        <w:gridCol w:w="651"/>
        <w:gridCol w:w="346"/>
        <w:gridCol w:w="181"/>
        <w:gridCol w:w="586"/>
        <w:gridCol w:w="346"/>
        <w:gridCol w:w="181"/>
        <w:gridCol w:w="691"/>
        <w:gridCol w:w="346"/>
        <w:gridCol w:w="187"/>
        <w:gridCol w:w="719"/>
        <w:gridCol w:w="194"/>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45565" cy="175260"/>
                      <wp:effectExtent l="0" t="0" r="0" b="0"/>
                      <wp:wrapNone/>
                      <wp:docPr id="26" name="Frame26"/>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86410" cy="175260"/>
                      <wp:effectExtent l="0" t="0" r="0" b="0"/>
                      <wp:wrapNone/>
                      <wp:docPr id="28" name="Frame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125" cy="175260"/>
                      <wp:effectExtent l="0" t="0" r="0" b="0"/>
                      <wp:wrapNone/>
                      <wp:docPr id="31" name="Frame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0060" cy="175260"/>
                      <wp:effectExtent l="0" t="0" r="0" b="0"/>
                      <wp:wrapNone/>
                      <wp:docPr id="33" name="Frame3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3385" cy="175260"/>
                      <wp:effectExtent l="0" t="0" r="0" b="0"/>
                      <wp:wrapNone/>
                      <wp:docPr id="36" name="Frame3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14935" cy="175260"/>
                      <wp:effectExtent l="0" t="0" r="0" b="0"/>
                      <wp:wrapNone/>
                      <wp:docPr id="38" name="Frame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2110" cy="175260"/>
                      <wp:effectExtent l="0" t="0" r="0" b="0"/>
                      <wp:wrapNone/>
                      <wp:docPr id="39"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8745" cy="175260"/>
                      <wp:effectExtent l="0" t="0" r="0" b="0"/>
                      <wp:wrapNone/>
                      <wp:docPr id="44" name="Frame44"/>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6565" cy="175260"/>
                      <wp:effectExtent l="0" t="0" r="0" b="0"/>
                      <wp:wrapNone/>
                      <wp:docPr id="45" name="Frame4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3190" cy="175260"/>
                      <wp:effectExtent l="0" t="0" r="0" b="0"/>
                      <wp:wrapNone/>
                      <wp:docPr id="46" name="Frame4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Nine Months Ended </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2025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(5,562,453)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(273,799)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1,627,330</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1,704,676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($0.40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(264,054)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(5,815,389)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(367,508)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1,782,457</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1,777,013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230,848</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230,848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($0.45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(15,871)</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(15,871)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(62,378)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(19,980)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(19,980)</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(5,841,913)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361,662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1,997,434</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1,971,209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291,615</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291,615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8,436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($0.50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(17,641)</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(17,641)</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(13,203)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SEPTEMBER 30, 2025</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(5,851,415)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(401,121)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362,688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2,271,408</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2,233,386</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29" w:name="Tc_hcu6wKASa0Kr3wnwcxb2fQ_33_18"/>
      <w:bookmarkStart w:id="530" w:name="Tc_tZjKzs4HvUOqmIgQvAsc6g_33_15"/>
      <w:bookmarkStart w:id="531" w:name="Tc_pIV2AdsHG0-YNhfUBxivDw_33_12"/>
      <w:bookmarkStart w:id="532" w:name="Tc_xGhModOWDUC6xo4aULol-w_33_9"/>
      <w:bookmarkStart w:id="533" w:name="Tc_wf15iyv1pUWaEX7O3WSNCQ_33_4"/>
      <w:bookmarkStart w:id="534" w:name="Tc_uUSQtY3b_U2sklEoO8exew_33_0"/>
      <w:bookmarkStart w:id="535" w:name="Tc_7vdG5civ3kKZ9TkasZwnog_32_16"/>
      <w:bookmarkStart w:id="536" w:name="Tc_WvitXxifp0yhUGEizyabWA_32_13"/>
      <w:bookmarkStart w:id="537" w:name="Tc_oMCAVnk36kqYLXooKFUxiQ_32_5"/>
      <w:bookmarkStart w:id="538" w:name="Tc_y0RMTx19d0SeS-sDBodhxw_32_2"/>
      <w:bookmarkStart w:id="539" w:name="Tc_q1ER-93hEkW8dOlyM6eR3Q_32_0"/>
      <w:bookmarkStart w:id="540" w:name="Tc_DzdTPoDIhEibdmrrK6Nznw_31_13"/>
      <w:bookmarkStart w:id="541" w:name="Tc_j_IZi-2u3kqVPDAbkjd2rg_31_10"/>
      <w:bookmarkStart w:id="542" w:name="Tc_yqgXY_75iEqdMxYbG-K9JA_31_7"/>
      <w:bookmarkStart w:id="543" w:name="Tc__b-63CXlP0ibre9ap_2GQg_31_5"/>
      <w:bookmarkStart w:id="544" w:name="Tc_tHa1I42jK0yIpZNgmEBZJA_31_2"/>
      <w:bookmarkStart w:id="545" w:name="Tc_KEqOU2Bt-kCPZQj9I9i9Cg_31_0"/>
      <w:bookmarkStart w:id="546" w:name="Tc_FE-s5EECeUWmwKan7OZ2CQ_30_16"/>
      <w:bookmarkStart w:id="547" w:name="Tc_waXBMZUAm0O2jGmFwmPSYA_30_10"/>
      <w:bookmarkStart w:id="548" w:name="Tc_F1e-2yD1kU-g11UXYbef_A_30_7"/>
      <w:bookmarkStart w:id="549" w:name="Tc_EtnGG1vuJEOFTWWryHaoKg_30_5"/>
      <w:bookmarkStart w:id="550" w:name="Tc_1UDqMPhylk-KtkxMrHPq_A_30_2"/>
      <w:bookmarkStart w:id="551" w:name="Tc_kiQdm5BlykihRZwbLbtsxA_30_0"/>
      <w:bookmarkStart w:id="552" w:name="Tc_HqlV5aE1qkC5wNlA6yFqsQ_29_16"/>
      <w:bookmarkStart w:id="553" w:name="Tc_KwTWUR-eDEOeyxGzHc_Bpw_29_13"/>
      <w:bookmarkStart w:id="554" w:name="Tc_TDeCmX7mJ0miHFXZKvKIXw_29_5"/>
      <w:bookmarkStart w:id="555" w:name="Tc_XmxQmJlFRkir0W4Q6rSrIg_29_2"/>
      <w:bookmarkStart w:id="556" w:name="Tc_hBKUhR6GV0y3miDyhoG8Ag_29_0"/>
      <w:bookmarkStart w:id="557" w:name="Tc_4wtBtvv-9EyRmnIYJA3C4Q_28_19"/>
      <w:bookmarkStart w:id="558" w:name="Tc_0bEJc3v6oE6qhrKSG2IZJg_28_16"/>
      <w:bookmarkStart w:id="559" w:name="Tc_YXUIiv7HgUepQ1NjOUFlSg_28_5"/>
      <w:bookmarkStart w:id="560" w:name="Tc_C10ZIhFKckW3E4ys2B6WDg_28_2"/>
      <w:bookmarkStart w:id="561" w:name="Tc_sll_NZI-JkyNmLfHxjeGEQ_28_0"/>
      <w:bookmarkStart w:id="562" w:name="Tc_byPeGVikd0GkGVb5Z_zswQ_27_19"/>
      <w:bookmarkStart w:id="563" w:name="Tc_MC8rs91EyEaTHcC4z9VWPA_27_16"/>
      <w:bookmarkStart w:id="564" w:name="Tc_VmLFZwwZ50G1SBNn2-_EpA_27_13"/>
      <w:bookmarkStart w:id="565" w:name="Tc_nWZwOPW9ZE64T-u0vRvpgA_27_10"/>
      <w:bookmarkStart w:id="566" w:name="Tc_WOY86z5c_kCJStOwRMpvVw_27_7"/>
      <w:bookmarkStart w:id="567" w:name="Tc_m5z9vmBvgEeREzOz75I8kw_27_5"/>
      <w:bookmarkStart w:id="568" w:name="Tc_4ISI_tUCt06oEWpLl_0OMA_27_2"/>
      <w:bookmarkStart w:id="569" w:name="Tc_2H8mnmVL_0C061zBqBDMAw_27_0"/>
      <w:bookmarkStart w:id="570" w:name="Tc_PDhYMWslaEGmHTAU64VolQ_26_0"/>
      <w:bookmarkStart w:id="571" w:name="Tc_NTqSc4FsbkSvI9AA8wSp3A_25_13"/>
      <w:bookmarkStart w:id="572" w:name="Tc_pikGr6mKoEms1OgRf_PWaQ_25_10"/>
      <w:bookmarkStart w:id="573" w:name="Tc_wAJvC3UbHUyHc7V_8GFJ5w_25_7"/>
      <w:bookmarkStart w:id="574" w:name="Tc_qFbqD4_UWU2EvtF2c9j83g_25_5"/>
      <w:bookmarkStart w:id="575" w:name="Tc_uX9v3eBzbE2k5IuaSPHsYg_25_2"/>
      <w:bookmarkStart w:id="576" w:name="Tc_TTv0qGDlS0SMzR8i2UPoMw_25_0"/>
      <w:bookmarkStart w:id="577" w:name="Tc_1Axke9a4BkaDcwU4XwE8MQ_24_0"/>
      <w:bookmarkStart w:id="578" w:name="Tc_FPEWX3Hj6UekIV23kPMIYg_23_16"/>
      <w:bookmarkStart w:id="579" w:name="Tc_PONHPFXdgEGVWHPZa-RSzA_23_13"/>
      <w:bookmarkStart w:id="580" w:name="Tc_0Z0arcM38kSBlf2aKOT2dg_23_5"/>
      <w:bookmarkStart w:id="581" w:name="Tc_KSMSvbKdi0mTrqwlUE556g_23_2"/>
      <w:bookmarkStart w:id="582" w:name="Tc_GHcBpK51pUmSa3FB_8Pfaw_23_0"/>
      <w:bookmarkStart w:id="583" w:name="Tc_S0BTrjuDKUeHd2yVQxsGnA_22_13"/>
      <w:bookmarkStart w:id="584" w:name="Tc_HmuFcj-jDkmQ_o2o09kK6g_22_10"/>
      <w:bookmarkStart w:id="585" w:name="Tc_QFEuJ1nh0E6uMp1HhpR3rQ_22_7"/>
      <w:bookmarkStart w:id="586" w:name="Tc_iFmh5GVDx0qZdGTUUuQGBw_22_5"/>
      <w:bookmarkStart w:id="587" w:name="Tc_L2f5CYq4XUu9g5sYQ7Hy-w_22_2"/>
      <w:bookmarkStart w:id="588" w:name="Tc_MpyLAN2GWESIItl6-LrjVQ_22_0"/>
      <w:bookmarkStart w:id="589" w:name="Tc_o7Y_0GaJAU-2pNNgwPV4sg_21_16"/>
      <w:bookmarkStart w:id="590" w:name="Tc_ntCUiBps2EiyduuhJXDyVQ_21_10"/>
      <w:bookmarkStart w:id="591" w:name="Tc_BJQVb5X4ZESEsqjulLVopg_21_7"/>
      <w:bookmarkStart w:id="592" w:name="Tc_tLwg_Y-exEGJrif_AlQs5w_21_5"/>
      <w:bookmarkStart w:id="593" w:name="Tc_8-vsEVgCwU2GpKim5_36oA_21_2"/>
      <w:bookmarkStart w:id="594" w:name="Tc_hvVFmhXHeEGB1h_0q4QiRg_21_0"/>
      <w:bookmarkStart w:id="595" w:name="Tc_oQCjXhhB902IWh_BiU1T6w_20_16"/>
      <w:bookmarkStart w:id="596" w:name="Tc_mKQfs_mDJEiPBM9ST6ZLVA_20_13"/>
      <w:bookmarkStart w:id="597" w:name="Tc_uJtSFnfBqkmH8l0l18UuRQ_20_5"/>
      <w:bookmarkStart w:id="598" w:name="Tc_lDy6tL57f0-KjQxRBcL7_w_20_2"/>
      <w:bookmarkStart w:id="599" w:name="Tc_XTEVIQNy806Y0yaqSUwTkg_20_0"/>
      <w:bookmarkStart w:id="600" w:name="Tc_gDoBBhMriUSBSGwHsplvLQ_19_19"/>
      <w:bookmarkStart w:id="601" w:name="Tc_1Ul2uJh8fkSZeF__Lqjs0w_19_16"/>
      <w:bookmarkStart w:id="602" w:name="Tc_lR-dF9g-WU-BRDWu5cjvPA_19_5"/>
      <w:bookmarkStart w:id="603" w:name="Tc_h8cvk-j_rUq7DmR0VImUvg_19_2"/>
      <w:bookmarkStart w:id="604" w:name="Tc_bzHZMLdKTUCJBUE47gAvPg_19_0"/>
      <w:bookmarkStart w:id="605" w:name="Tc_4RqyOri3vkGDkWNxjTF5Nw_18_19"/>
      <w:bookmarkStart w:id="606" w:name="Tc_ldDn90-4Q0e6IJUYN-HQKw_18_16"/>
      <w:bookmarkStart w:id="607" w:name="Tc_0zweY7dWWE2b7iFX4luUtQ_18_13"/>
      <w:bookmarkStart w:id="608" w:name="Tc_fgsjsy_ny0OnxIPbA-imlw_18_10"/>
      <w:bookmarkStart w:id="609" w:name="Tc_YCUopPlbX0WXZ3765U_RxQ_18_7"/>
      <w:bookmarkStart w:id="610" w:name="Tc_s1Xk4GdesUSWO5C2sdnFwA_18_5"/>
      <w:bookmarkStart w:id="611" w:name="Tc_z4x_eCgk2Ui9IprT70510w_18_2"/>
      <w:bookmarkStart w:id="612" w:name="Tc_cwywO7OeY0Ghin1iEqSjCg_18_0"/>
      <w:bookmarkStart w:id="613" w:name="Tc_u3eQNbMZ4EyZbsSJURcxIQ_17_0"/>
      <w:bookmarkStart w:id="614" w:name="Tc_VHutjfsdQEaDoTb0oFdj6Q_16_13"/>
      <w:bookmarkStart w:id="615" w:name="Tc_ZbIuH1lHSEGz8Mik3tB78g_16_10"/>
      <w:bookmarkStart w:id="616" w:name="Tc_LSUyk4ujhEu-H0gbEjwRdA_16_7"/>
      <w:bookmarkStart w:id="617" w:name="Tc_YkexJqGb8k-B7KRMHcBbyA_16_5"/>
      <w:bookmarkStart w:id="618" w:name="Tc_VBYrRodfNUa4_4AwdyIuQw_16_2"/>
      <w:bookmarkStart w:id="619" w:name="Tc_7XYafT5mEkWdX2VtvJsFGA_16_0"/>
      <w:bookmarkStart w:id="620" w:name="Tc_1dUGESbB0kCOgIKOLsfDbg_15_0"/>
      <w:bookmarkStart w:id="621" w:name="Tc_1uYDZK9C_EiXeD7ixrKJCw_14_16"/>
      <w:bookmarkStart w:id="622" w:name="Tc_ez-L2PAeFkmGCgmPU7ShLw_14_13"/>
      <w:bookmarkStart w:id="623" w:name="Tc_bbPis0KjxEi0UHzoibTxOQ_14_5"/>
      <w:bookmarkStart w:id="624" w:name="Tc_Tiock4VS3UujHrN-KFdBAA_14_2"/>
      <w:bookmarkStart w:id="625" w:name="Tc_e-IWZo-sYkug055_hh6gIg_14_0"/>
      <w:bookmarkStart w:id="626" w:name="Tc_2JxPALnJkU6p1fiDeXW-xA_13_13"/>
      <w:bookmarkStart w:id="627" w:name="Tc_U3HFhSz6qEWHJwGjtRon0g_13_10"/>
      <w:bookmarkStart w:id="628" w:name="Tc_4II0UbXyaEC5GuJ2zwRB1Q_13_7"/>
      <w:bookmarkStart w:id="629" w:name="Tc_abxaT1gyWUyjEqpdPF4PwQ_13_5"/>
      <w:bookmarkStart w:id="630" w:name="Tc_tL5lOIT-ZESGMVWbiP01Ow_13_2"/>
      <w:bookmarkStart w:id="631" w:name="Tc_Q4bN_JtRTUu7Y1Ye1zJmRA_13_0"/>
      <w:bookmarkStart w:id="632" w:name="Tc_VCCt6Gp_5k2_LioQIUy6QA_12_16"/>
      <w:bookmarkStart w:id="633" w:name="Tc_RJlr1truD0WOGA01cWHsiQ_12_10"/>
      <w:bookmarkStart w:id="634" w:name="Tc_R6wC88cYJUS_stB-AfVgWg_12_7"/>
      <w:bookmarkStart w:id="635" w:name="Tc_dnOhFhqlqUGU3A-TKhhv-w_12_5"/>
      <w:bookmarkStart w:id="636" w:name="Tc_TkEXO3nn2kOLj1z6uTWZqg_12_2"/>
      <w:bookmarkStart w:id="637" w:name="Tc_xahg9yR46kGB2dOrNgx00g_12_0"/>
      <w:bookmarkStart w:id="638" w:name="Tc_CGmu6LGNX0isZEs_jKvPyg_11_16"/>
      <w:bookmarkStart w:id="639" w:name="Tc_KzvDLiRKlEmmawIR0xTZcg_11_13"/>
      <w:bookmarkStart w:id="640" w:name="Tc_YAha4qLJdkytFK0Mk4-K5Q_11_5"/>
      <w:bookmarkStart w:id="641" w:name="Tc_BuzAUqaVhUq58E0PtSIlPw_11_2"/>
      <w:bookmarkStart w:id="642" w:name="Tc_dLtHnJ-v8k-EuHKBkiAcng_11_0"/>
      <w:bookmarkStart w:id="643" w:name="Tc_EompteiGAECXtsABssyg9Q_10_16"/>
      <w:bookmarkStart w:id="644" w:name="Tc_etSYnG-cOkKK8ug_fxmm_g_10_5"/>
      <w:bookmarkStart w:id="645" w:name="Tc_lSLe2tmoi0isAxpBgMOZKA_10_2"/>
      <w:bookmarkStart w:id="646" w:name="Tc_L4RGyiQvd0yGMU6QNOdw0w_10_0"/>
      <w:bookmarkStart w:id="647" w:name="Tc_Hr36X2zSMUS3n_WGFl8XYw_9_16"/>
      <w:bookmarkStart w:id="648" w:name="Tc_p09g_ILyZUmE6yLD0lLLnA_9_5"/>
      <w:bookmarkStart w:id="649" w:name="Tc_vQqFHw4BrUm6pbcMOiFC2w_9_2"/>
      <w:bookmarkStart w:id="650" w:name="Tc_2kqdTho2x0qUZf6dGihGmw_9_0"/>
      <w:bookmarkStart w:id="651" w:name="Tc__311itKO4kOCF7vqT6LLAw_8_0"/>
      <w:bookmarkStart w:id="652" w:name="Tc_gZJ37E3Bn0aaQ8m3IkeScQ_7_13"/>
      <w:bookmarkStart w:id="653" w:name="Tc_wCMJiZu8XEad0hxwaRou-g_7_10"/>
      <w:bookmarkStart w:id="654" w:name="Tc_e81uKDicH02ARyzpMWM5BQ_7_7"/>
      <w:bookmarkStart w:id="655" w:name="Tc_6i71qZ7dD0CMYzhkRoiMbw_7_5"/>
      <w:bookmarkStart w:id="656" w:name="Tc_XA0c_kGeA06FcRJ92JTIog_7_2"/>
      <w:bookmarkStart w:id="657" w:name="Tc_hdjgHiGHq02bgQ9ufaxejQ_7_0"/>
      <w:bookmarkStart w:id="658" w:name="Tc_DfmtTRqXqU6E6qAJaYmOtQ_6_18"/>
      <w:bookmarkStart w:id="659" w:name="Tc_xX9wzDSVJEyYs5PSlcoZpw_6_15"/>
      <w:bookmarkStart w:id="660" w:name="Tc_xYagjuJvhEOmDkjJmtuPUQ_6_12"/>
      <w:bookmarkStart w:id="661" w:name="Tc_dZh9af14-kyVHaoScq0X7w_6_9"/>
      <w:bookmarkStart w:id="662" w:name="Tc_bkeVuuBD8k2XzD55NTiZIQ_6_4"/>
      <w:bookmarkStart w:id="663" w:name="Tc_fA3XYauA50ywIixCk_fuoA_6_0"/>
      <w:bookmarkStart w:id="664" w:name="Tc_qG4dkos3U0-zhUqDoVZIZQ_5_18"/>
      <w:bookmarkStart w:id="665" w:name="Tc_BhxioQd8oEaevsOIRenefA_5_15"/>
      <w:bookmarkStart w:id="666" w:name="Tc_RaUOVSZIDUypb_kuNuhNZw_5_12"/>
      <w:bookmarkStart w:id="667" w:name="Tc_6JoJAeuQWki2fAUhZxsTfQ_5_9"/>
      <w:bookmarkStart w:id="668" w:name="Tc_sBBHWby8O0KirUZEfDkHNg_5_7"/>
      <w:bookmarkStart w:id="669" w:name="Tc_XNxcVevTkki3TCusVFfoug_5_4"/>
      <w:bookmarkStart w:id="670" w:name="Tc_9-1drdxMu0C-maQRtMsfuw_5_2"/>
      <w:bookmarkStart w:id="671" w:name="Tc_8xetqUK3pE23pD7tTCYmzw_4_18"/>
      <w:bookmarkStart w:id="672" w:name="Tc_lmuUsEJHH0-Ecw1_K-fnFg_4_15"/>
      <w:bookmarkStart w:id="673" w:name="Tc_HyX45ESt1kq3xz5w2WTHXw_4_12"/>
      <w:bookmarkStart w:id="674" w:name="Tc_xJH4BSkRpU2T2aTbKslNXw_4_7"/>
      <w:bookmarkStart w:id="675" w:name="Tc_WIHebui3PkeQF06Zo_MHJA_4_2"/>
      <w:bookmarkStart w:id="676" w:name="Tc_l-5V-knavEypNM5Yjn45NQ_3_18"/>
      <w:bookmarkStart w:id="677" w:name="Tc_G5Fvm4ijhE2dLMtSzO_KDQ_3_12"/>
      <w:bookmarkStart w:id="678" w:name="Tc_Pnu4fYy2AEyrGc4ZM_e2ww_2_2"/>
      <w:bookmarkStart w:id="679" w:name="Tc_BQCP-68ohkaDyU0RI3gN-g_1_2"/>
      <w:bookmarkStart w:id="680" w:name="_e9c97a12_04ba_4431_8d3d_5563c3a66c4d"/>
      <w:bookmarkStart w:id="681" w:name="Tc_hcu6wKASa0Kr3wnwcxb2fQ_33_18"/>
      <w:bookmarkStart w:id="682" w:name="Tc_tZjKzs4HvUOqmIgQvAsc6g_33_15"/>
      <w:bookmarkStart w:id="683" w:name="Tc_pIV2AdsHG0-YNhfUBxivDw_33_12"/>
      <w:bookmarkStart w:id="684" w:name="Tc_xGhModOWDUC6xo4aULol-w_33_9"/>
      <w:bookmarkStart w:id="685" w:name="Tc_wf15iyv1pUWaEX7O3WSNCQ_33_4"/>
      <w:bookmarkStart w:id="686" w:name="Tc_uUSQtY3b_U2sklEoO8exew_33_0"/>
      <w:bookmarkStart w:id="687" w:name="Tc_7vdG5civ3kKZ9TkasZwnog_32_16"/>
      <w:bookmarkStart w:id="688" w:name="Tc_WvitXxifp0yhUGEizyabWA_32_13"/>
      <w:bookmarkStart w:id="689" w:name="Tc_oMCAVnk36kqYLXooKFUxiQ_32_5"/>
      <w:bookmarkStart w:id="690" w:name="Tc_y0RMTx19d0SeS-sDBodhxw_32_2"/>
      <w:bookmarkStart w:id="691" w:name="Tc_q1ER-93hEkW8dOlyM6eR3Q_32_0"/>
      <w:bookmarkStart w:id="692" w:name="Tc_DzdTPoDIhEibdmrrK6Nznw_31_13"/>
      <w:bookmarkStart w:id="693" w:name="Tc_j_IZi-2u3kqVPDAbkjd2rg_31_10"/>
      <w:bookmarkStart w:id="694" w:name="Tc_yqgXY_75iEqdMxYbG-K9JA_31_7"/>
      <w:bookmarkStart w:id="695" w:name="Tc__b-63CXlP0ibre9ap_2GQg_31_5"/>
      <w:bookmarkStart w:id="696" w:name="Tc_tHa1I42jK0yIpZNgmEBZJA_31_2"/>
      <w:bookmarkStart w:id="697" w:name="Tc_KEqOU2Bt-kCPZQj9I9i9Cg_31_0"/>
      <w:bookmarkStart w:id="698" w:name="Tc_FE-s5EECeUWmwKan7OZ2CQ_30_16"/>
      <w:bookmarkStart w:id="699" w:name="Tc_waXBMZUAm0O2jGmFwmPSYA_30_10"/>
      <w:bookmarkStart w:id="700" w:name="Tc_F1e-2yD1kU-g11UXYbef_A_30_7"/>
      <w:bookmarkStart w:id="701" w:name="Tc_EtnGG1vuJEOFTWWryHaoKg_30_5"/>
      <w:bookmarkStart w:id="702" w:name="Tc_1UDqMPhylk-KtkxMrHPq_A_30_2"/>
      <w:bookmarkStart w:id="703" w:name="Tc_kiQdm5BlykihRZwbLbtsxA_30_0"/>
      <w:bookmarkStart w:id="704" w:name="Tc_HqlV5aE1qkC5wNlA6yFqsQ_29_16"/>
      <w:bookmarkStart w:id="705" w:name="Tc_KwTWUR-eDEOeyxGzHc_Bpw_29_13"/>
      <w:bookmarkStart w:id="706" w:name="Tc_TDeCmX7mJ0miHFXZKvKIXw_29_5"/>
      <w:bookmarkStart w:id="707" w:name="Tc_XmxQmJlFRkir0W4Q6rSrIg_29_2"/>
      <w:bookmarkStart w:id="708" w:name="Tc_hBKUhR6GV0y3miDyhoG8Ag_29_0"/>
      <w:bookmarkStart w:id="709" w:name="Tc_4wtBtvv-9EyRmnIYJA3C4Q_28_19"/>
      <w:bookmarkStart w:id="710" w:name="Tc_0bEJc3v6oE6qhrKSG2IZJg_28_16"/>
      <w:bookmarkStart w:id="711" w:name="Tc_YXUIiv7HgUepQ1NjOUFlSg_28_5"/>
      <w:bookmarkStart w:id="712" w:name="Tc_C10ZIhFKckW3E4ys2B6WDg_28_2"/>
      <w:bookmarkStart w:id="713" w:name="Tc_sll_NZI-JkyNmLfHxjeGEQ_28_0"/>
      <w:bookmarkStart w:id="714" w:name="Tc_byPeGVikd0GkGVb5Z_zswQ_27_19"/>
      <w:bookmarkStart w:id="715" w:name="Tc_MC8rs91EyEaTHcC4z9VWPA_27_16"/>
      <w:bookmarkStart w:id="716" w:name="Tc_VmLFZwwZ50G1SBNn2-_EpA_27_13"/>
      <w:bookmarkStart w:id="717" w:name="Tc_nWZwOPW9ZE64T-u0vRvpgA_27_10"/>
      <w:bookmarkStart w:id="718" w:name="Tc_WOY86z5c_kCJStOwRMpvVw_27_7"/>
      <w:bookmarkStart w:id="719" w:name="Tc_m5z9vmBvgEeREzOz75I8kw_27_5"/>
      <w:bookmarkStart w:id="720" w:name="Tc_4ISI_tUCt06oEWpLl_0OMA_27_2"/>
      <w:bookmarkStart w:id="721" w:name="Tc_2H8mnmVL_0C061zBqBDMAw_27_0"/>
      <w:bookmarkStart w:id="722" w:name="Tc_PDhYMWslaEGmHTAU64VolQ_26_0"/>
      <w:bookmarkStart w:id="723" w:name="Tc_NTqSc4FsbkSvI9AA8wSp3A_25_13"/>
      <w:bookmarkStart w:id="724" w:name="Tc_pikGr6mKoEms1OgRf_PWaQ_25_10"/>
      <w:bookmarkStart w:id="725" w:name="Tc_wAJvC3UbHUyHc7V_8GFJ5w_25_7"/>
      <w:bookmarkStart w:id="726" w:name="Tc_qFbqD4_UWU2EvtF2c9j83g_25_5"/>
      <w:bookmarkStart w:id="727" w:name="Tc_uX9v3eBzbE2k5IuaSPHsYg_25_2"/>
      <w:bookmarkStart w:id="728" w:name="Tc_TTv0qGDlS0SMzR8i2UPoMw_25_0"/>
      <w:bookmarkStart w:id="729" w:name="Tc_1Axke9a4BkaDcwU4XwE8MQ_24_0"/>
      <w:bookmarkStart w:id="730" w:name="Tc_FPEWX3Hj6UekIV23kPMIYg_23_16"/>
      <w:bookmarkStart w:id="731" w:name="Tc_PONHPFXdgEGVWHPZa-RSzA_23_13"/>
      <w:bookmarkStart w:id="732" w:name="Tc_0Z0arcM38kSBlf2aKOT2dg_23_5"/>
      <w:bookmarkStart w:id="733" w:name="Tc_KSMSvbKdi0mTrqwlUE556g_23_2"/>
      <w:bookmarkStart w:id="734" w:name="Tc_GHcBpK51pUmSa3FB_8Pfaw_23_0"/>
      <w:bookmarkStart w:id="735" w:name="Tc_S0BTrjuDKUeHd2yVQxsGnA_22_13"/>
      <w:bookmarkStart w:id="736" w:name="Tc_HmuFcj-jDkmQ_o2o09kK6g_22_10"/>
      <w:bookmarkStart w:id="737" w:name="Tc_QFEuJ1nh0E6uMp1HhpR3rQ_22_7"/>
      <w:bookmarkStart w:id="738" w:name="Tc_iFmh5GVDx0qZdGTUUuQGBw_22_5"/>
      <w:bookmarkStart w:id="739" w:name="Tc_L2f5CYq4XUu9g5sYQ7Hy-w_22_2"/>
      <w:bookmarkStart w:id="740" w:name="Tc_MpyLAN2GWESIItl6-LrjVQ_22_0"/>
      <w:bookmarkStart w:id="741" w:name="Tc_o7Y_0GaJAU-2pNNgwPV4sg_21_16"/>
      <w:bookmarkStart w:id="742" w:name="Tc_ntCUiBps2EiyduuhJXDyVQ_21_10"/>
      <w:bookmarkStart w:id="743" w:name="Tc_BJQVb5X4ZESEsqjulLVopg_21_7"/>
      <w:bookmarkStart w:id="744" w:name="Tc_tLwg_Y-exEGJrif_AlQs5w_21_5"/>
      <w:bookmarkStart w:id="745" w:name="Tc_8-vsEVgCwU2GpKim5_36oA_21_2"/>
      <w:bookmarkStart w:id="746" w:name="Tc_hvVFmhXHeEGB1h_0q4QiRg_21_0"/>
      <w:bookmarkStart w:id="747" w:name="Tc_oQCjXhhB902IWh_BiU1T6w_20_16"/>
      <w:bookmarkStart w:id="748" w:name="Tc_mKQfs_mDJEiPBM9ST6ZLVA_20_13"/>
      <w:bookmarkStart w:id="749" w:name="Tc_uJtSFnfBqkmH8l0l18UuRQ_20_5"/>
      <w:bookmarkStart w:id="750" w:name="Tc_lDy6tL57f0-KjQxRBcL7_w_20_2"/>
      <w:bookmarkStart w:id="751" w:name="Tc_XTEVIQNy806Y0yaqSUwTkg_20_0"/>
      <w:bookmarkStart w:id="752" w:name="Tc_gDoBBhMriUSBSGwHsplvLQ_19_19"/>
      <w:bookmarkStart w:id="753" w:name="Tc_1Ul2uJh8fkSZeF__Lqjs0w_19_16"/>
      <w:bookmarkStart w:id="754" w:name="Tc_lR-dF9g-WU-BRDWu5cjvPA_19_5"/>
      <w:bookmarkStart w:id="755" w:name="Tc_h8cvk-j_rUq7DmR0VImUvg_19_2"/>
      <w:bookmarkStart w:id="756" w:name="Tc_bzHZMLdKTUCJBUE47gAvPg_19_0"/>
      <w:bookmarkStart w:id="757" w:name="Tc_4RqyOri3vkGDkWNxjTF5Nw_18_19"/>
      <w:bookmarkStart w:id="758" w:name="Tc_ldDn90-4Q0e6IJUYN-HQKw_18_16"/>
      <w:bookmarkStart w:id="759" w:name="Tc_0zweY7dWWE2b7iFX4luUtQ_18_13"/>
      <w:bookmarkStart w:id="760" w:name="Tc_fgsjsy_ny0OnxIPbA-imlw_18_10"/>
      <w:bookmarkStart w:id="761" w:name="Tc_YCUopPlbX0WXZ3765U_RxQ_18_7"/>
      <w:bookmarkStart w:id="762" w:name="Tc_s1Xk4GdesUSWO5C2sdnFwA_18_5"/>
      <w:bookmarkStart w:id="763" w:name="Tc_z4x_eCgk2Ui9IprT70510w_18_2"/>
      <w:bookmarkStart w:id="764" w:name="Tc_cwywO7OeY0Ghin1iEqSjCg_18_0"/>
      <w:bookmarkStart w:id="765" w:name="Tc_u3eQNbMZ4EyZbsSJURcxIQ_17_0"/>
      <w:bookmarkStart w:id="766" w:name="Tc_VHutjfsdQEaDoTb0oFdj6Q_16_13"/>
      <w:bookmarkStart w:id="767" w:name="Tc_ZbIuH1lHSEGz8Mik3tB78g_16_10"/>
      <w:bookmarkStart w:id="768" w:name="Tc_LSUyk4ujhEu-H0gbEjwRdA_16_7"/>
      <w:bookmarkStart w:id="769" w:name="Tc_YkexJqGb8k-B7KRMHcBbyA_16_5"/>
      <w:bookmarkStart w:id="770" w:name="Tc_VBYrRodfNUa4_4AwdyIuQw_16_2"/>
      <w:bookmarkStart w:id="771" w:name="Tc_7XYafT5mEkWdX2VtvJsFGA_16_0"/>
      <w:bookmarkStart w:id="772" w:name="Tc_1dUGESbB0kCOgIKOLsfDbg_15_0"/>
      <w:bookmarkStart w:id="773" w:name="Tc_1uYDZK9C_EiXeD7ixrKJCw_14_16"/>
      <w:bookmarkStart w:id="774" w:name="Tc_ez-L2PAeFkmGCgmPU7ShLw_14_13"/>
      <w:bookmarkStart w:id="775" w:name="Tc_bbPis0KjxEi0UHzoibTxOQ_14_5"/>
      <w:bookmarkStart w:id="776" w:name="Tc_Tiock4VS3UujHrN-KFdBAA_14_2"/>
      <w:bookmarkStart w:id="777" w:name="Tc_e-IWZo-sYkug055_hh6gIg_14_0"/>
      <w:bookmarkStart w:id="778" w:name="Tc_2JxPALnJkU6p1fiDeXW-xA_13_13"/>
      <w:bookmarkStart w:id="779" w:name="Tc_U3HFhSz6qEWHJwGjtRon0g_13_10"/>
      <w:bookmarkStart w:id="780" w:name="Tc_4II0UbXyaEC5GuJ2zwRB1Q_13_7"/>
      <w:bookmarkStart w:id="781" w:name="Tc_abxaT1gyWUyjEqpdPF4PwQ_13_5"/>
      <w:bookmarkStart w:id="782" w:name="Tc_tL5lOIT-ZESGMVWbiP01Ow_13_2"/>
      <w:bookmarkStart w:id="783" w:name="Tc_Q4bN_JtRTUu7Y1Ye1zJmRA_13_0"/>
      <w:bookmarkStart w:id="784" w:name="Tc_VCCt6Gp_5k2_LioQIUy6QA_12_16"/>
      <w:bookmarkStart w:id="785" w:name="Tc_RJlr1truD0WOGA01cWHsiQ_12_10"/>
      <w:bookmarkStart w:id="786" w:name="Tc_R6wC88cYJUS_stB-AfVgWg_12_7"/>
      <w:bookmarkStart w:id="787" w:name="Tc_dnOhFhqlqUGU3A-TKhhv-w_12_5"/>
      <w:bookmarkStart w:id="788" w:name="Tc_TkEXO3nn2kOLj1z6uTWZqg_12_2"/>
      <w:bookmarkStart w:id="789" w:name="Tc_xahg9yR46kGB2dOrNgx00g_12_0"/>
      <w:bookmarkStart w:id="790" w:name="Tc_CGmu6LGNX0isZEs_jKvPyg_11_16"/>
      <w:bookmarkStart w:id="791" w:name="Tc_KzvDLiRKlEmmawIR0xTZcg_11_13"/>
      <w:bookmarkStart w:id="792" w:name="Tc_YAha4qLJdkytFK0Mk4-K5Q_11_5"/>
      <w:bookmarkStart w:id="793" w:name="Tc_BuzAUqaVhUq58E0PtSIlPw_11_2"/>
      <w:bookmarkStart w:id="794" w:name="Tc_dLtHnJ-v8k-EuHKBkiAcng_11_0"/>
      <w:bookmarkStart w:id="795" w:name="Tc_EompteiGAECXtsABssyg9Q_10_16"/>
      <w:bookmarkStart w:id="796" w:name="Tc_etSYnG-cOkKK8ug_fxmm_g_10_5"/>
      <w:bookmarkStart w:id="797" w:name="Tc_lSLe2tmoi0isAxpBgMOZKA_10_2"/>
      <w:bookmarkStart w:id="798" w:name="Tc_L4RGyiQvd0yGMU6QNOdw0w_10_0"/>
      <w:bookmarkStart w:id="799" w:name="Tc_Hr36X2zSMUS3n_WGFl8XYw_9_16"/>
      <w:bookmarkStart w:id="800" w:name="Tc_p09g_ILyZUmE6yLD0lLLnA_9_5"/>
      <w:bookmarkStart w:id="801" w:name="Tc_vQqFHw4BrUm6pbcMOiFC2w_9_2"/>
      <w:bookmarkStart w:id="802" w:name="Tc_2kqdTho2x0qUZf6dGihGmw_9_0"/>
      <w:bookmarkStart w:id="803" w:name="Tc__311itKO4kOCF7vqT6LLAw_8_0"/>
      <w:bookmarkStart w:id="804" w:name="Tc_gZJ37E3Bn0aaQ8m3IkeScQ_7_13"/>
      <w:bookmarkStart w:id="805" w:name="Tc_wCMJiZu8XEad0hxwaRou-g_7_10"/>
      <w:bookmarkStart w:id="806" w:name="Tc_e81uKDicH02ARyzpMWM5BQ_7_7"/>
      <w:bookmarkStart w:id="807" w:name="Tc_6i71qZ7dD0CMYzhkRoiMbw_7_5"/>
      <w:bookmarkStart w:id="808" w:name="Tc_XA0c_kGeA06FcRJ92JTIog_7_2"/>
      <w:bookmarkStart w:id="809" w:name="Tc_hdjgHiGHq02bgQ9ufaxejQ_7_0"/>
      <w:bookmarkStart w:id="810" w:name="Tc_DfmtTRqXqU6E6qAJaYmOtQ_6_18"/>
      <w:bookmarkStart w:id="811" w:name="Tc_xX9wzDSVJEyYs5PSlcoZpw_6_15"/>
      <w:bookmarkStart w:id="812" w:name="Tc_xYagjuJvhEOmDkjJmtuPUQ_6_12"/>
      <w:bookmarkStart w:id="813" w:name="Tc_dZh9af14-kyVHaoScq0X7w_6_9"/>
      <w:bookmarkStart w:id="814" w:name="Tc_bkeVuuBD8k2XzD55NTiZIQ_6_4"/>
      <w:bookmarkStart w:id="815" w:name="Tc_fA3XYauA50ywIixCk_fuoA_6_0"/>
      <w:bookmarkStart w:id="816" w:name="Tc_qG4dkos3U0-zhUqDoVZIZQ_5_18"/>
      <w:bookmarkStart w:id="817" w:name="Tc_BhxioQd8oEaevsOIRenefA_5_15"/>
      <w:bookmarkStart w:id="818" w:name="Tc_RaUOVSZIDUypb_kuNuhNZw_5_12"/>
      <w:bookmarkStart w:id="819" w:name="Tc_6JoJAeuQWki2fAUhZxsTfQ_5_9"/>
      <w:bookmarkStart w:id="820" w:name="Tc_sBBHWby8O0KirUZEfDkHNg_5_7"/>
      <w:bookmarkStart w:id="821" w:name="Tc_XNxcVevTkki3TCusVFfoug_5_4"/>
      <w:bookmarkStart w:id="822" w:name="Tc_9-1drdxMu0C-maQRtMsfuw_5_2"/>
      <w:bookmarkStart w:id="823" w:name="Tc_8xetqUK3pE23pD7tTCYmzw_4_18"/>
      <w:bookmarkStart w:id="824" w:name="Tc_lmuUsEJHH0-Ecw1_K-fnFg_4_15"/>
      <w:bookmarkStart w:id="825" w:name="Tc_HyX45ESt1kq3xz5w2WTHXw_4_12"/>
      <w:bookmarkStart w:id="826" w:name="Tc_xJH4BSkRpU2T2aTbKslNXw_4_7"/>
      <w:bookmarkStart w:id="827" w:name="Tc_WIHebui3PkeQF06Zo_MHJA_4_2"/>
      <w:bookmarkStart w:id="828" w:name="Tc_l-5V-knavEypNM5Yjn45NQ_3_18"/>
      <w:bookmarkStart w:id="829" w:name="Tc_G5Fvm4ijhE2dLMtSzO_KDQ_3_12"/>
      <w:bookmarkStart w:id="830" w:name="Tc_Pnu4fYy2AEyrGc4ZM_e2ww_2_2"/>
      <w:bookmarkStart w:id="831" w:name="Tc_BQCP-68ohkaDyU0RI3gN-g_1_2"/>
      <w:bookmarkStart w:id="832" w:name="_e9c97a12_04ba_4431_8d3d_5563c3a66c4d"/>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tbl>
      <w:tblPr>
        <w:tblW w:w="10205" w:type="dxa"/>
        <w:jc w:val="left"/>
        <w:tblInd w:w="0" w:type="dxa"/>
        <w:tblLayout w:type="fixed"/>
        <w:tblCellMar>
          <w:top w:w="0" w:type="dxa"/>
          <w:left w:w="0" w:type="dxa"/>
          <w:bottom w:w="0" w:type="dxa"/>
          <w:right w:w="0" w:type="dxa"/>
        </w:tblCellMar>
      </w:tblPr>
      <w:tblGrid>
        <w:gridCol w:w="2241"/>
        <w:gridCol w:w="346"/>
        <w:gridCol w:w="766"/>
        <w:gridCol w:w="346"/>
        <w:gridCol w:w="196"/>
        <w:gridCol w:w="375"/>
        <w:gridCol w:w="346"/>
        <w:gridCol w:w="759"/>
        <w:gridCol w:w="346"/>
        <w:gridCol w:w="181"/>
        <w:gridCol w:w="654"/>
        <w:gridCol w:w="346"/>
        <w:gridCol w:w="181"/>
        <w:gridCol w:w="586"/>
        <w:gridCol w:w="346"/>
        <w:gridCol w:w="181"/>
        <w:gridCol w:w="691"/>
        <w:gridCol w:w="346"/>
        <w:gridCol w:w="181"/>
        <w:gridCol w:w="791"/>
      </w:tblGrid>
      <w:tr>
        <w:trPr/>
        <w:tc>
          <w:tcPr>
            <w:tcW w:w="2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23035" cy="175260"/>
                      <wp:effectExtent l="0" t="0" r="0" b="0"/>
                      <wp:wrapNone/>
                      <wp:docPr id="47" name="Frame47"/>
                      <a:graphic xmlns:a="http://schemas.openxmlformats.org/drawingml/2006/main">
                        <a:graphicData uri="http://schemas.microsoft.com/office/word/2010/wordprocessingShape">
                          <wps:wsp>
                            <wps:cNvSpPr txBox="1"/>
                            <wps:spPr>
                              <a:xfrm>
                                <a:off x="0" y="0"/>
                                <a:ext cx="142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6410" cy="175260"/>
                      <wp:effectExtent l="0" t="0" r="0" b="0"/>
                      <wp:wrapNone/>
                      <wp:docPr id="49" name="Frame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8125" cy="175260"/>
                      <wp:effectExtent l="0" t="0" r="0" b="0"/>
                      <wp:wrapNone/>
                      <wp:docPr id="52" name="Frame5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81965" cy="175260"/>
                      <wp:effectExtent l="0" t="0" r="0" b="0"/>
                      <wp:wrapNone/>
                      <wp:docPr id="54" name="Frame5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56" name="Frame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5290" cy="175260"/>
                      <wp:effectExtent l="0" t="0" r="0" b="0"/>
                      <wp:wrapNone/>
                      <wp:docPr id="57" name="Frame57"/>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59" name="Frame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72110" cy="175260"/>
                      <wp:effectExtent l="0" t="0" r="0" b="0"/>
                      <wp:wrapNone/>
                      <wp:docPr id="60" name="Frame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785" cy="175260"/>
                      <wp:effectExtent l="0" t="0" r="0" b="0"/>
                      <wp:wrapNone/>
                      <wp:docPr id="63" name="Frame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2285" cy="175260"/>
                      <wp:effectExtent l="0" t="0" r="0" b="0"/>
                      <wp:wrapNone/>
                      <wp:docPr id="66" name="Frame6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8"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Nine Months Ended </w:t>
            </w:r>
          </w:p>
        </w:tc>
      </w:tr>
      <w:tr>
        <w:trPr/>
        <w:tc>
          <w:tcPr>
            <w:tcW w:w="2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8"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2026</w:t>
            </w:r>
          </w:p>
        </w:tc>
      </w:tr>
      <w:tr>
        <w:trPr/>
        <w:tc>
          <w:tcPr>
            <w:tcW w:w="2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(5,946,145)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(496,006)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363,314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2,581,055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2,448,774</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8,011</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($0.70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(5,936,242)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(500,449)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2,926,810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2,815,048</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441,602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441,602</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(13,537)</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8,002</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($0.80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(28,162)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(28,162)</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(5,684)</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(5,923,156)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(517,499)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394,107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3,340,250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3,217,269</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489,044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489,044</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1,911</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($0.90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(31,600)</w:t>
            </w:r>
          </w:p>
        </w:tc>
      </w:tr>
      <w:tr>
        <w:trPr/>
        <w:tc>
          <w:tcPr>
            <w:tcW w:w="2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(206,672)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(340,914)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(340,914)</w:t>
            </w:r>
          </w:p>
        </w:tc>
      </w:tr>
      <w:tr>
        <w:trPr/>
        <w:tc>
          <w:tcPr>
            <w:tcW w:w="2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SEPTEMBER 30, 2026</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(6,129,102)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(858,737)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395,875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3,797,694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4"/>
              </w:rPr>
            </w:pPr>
            <w:r>
              <w:rPr>
                <w:rFonts w:ascii="Times New Roman;Times;serif" w:hAnsi="Times New Roman;Times;serif"/>
                <w:sz w:val="14"/>
              </w:rPr>
              <w:t>3,335,243</w:t>
            </w:r>
          </w:p>
        </w:tc>
      </w:tr>
    </w:tbl>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833" w:name="_0963f9e1_92e9_4394_a51a_6366efe23e16"/>
      <w:bookmarkEnd w:id="833"/>
      <w:r>
        <w:rPr>
          <w:rFonts w:ascii="Times New Roman;Times;serif" w:hAnsi="Times New Roman;Times;serif"/>
          <w:b/>
          <w:sz w:val="20"/>
        </w:rPr>
        <w:t>COMFORT SYSTEMS USA, INC.</w:t>
      </w:r>
    </w:p>
    <w:p>
      <w:pPr>
        <w:pStyle w:val="TextBody"/>
        <w:bidi w:val="0"/>
        <w:spacing w:before="0" w:after="120"/>
        <w:ind w:left="0" w:right="0" w:hanging="0"/>
        <w:jc w:val="center"/>
        <w:rPr>
          <w:rFonts w:ascii="Times New Roman;Times;serif" w:hAnsi="Times New Roman;Times;serif"/>
          <w:b/>
          <w:sz w:val="20"/>
        </w:rPr>
      </w:pPr>
      <w:bookmarkStart w:id="834" w:name="CONSOLIDATEDSTATEMENTSOFCASHFLOWS_486675"/>
      <w:bookmarkEnd w:id="834"/>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35" w:name="Tc_w4fzG_dcVUueWAsuripMfQ_49_5"/>
      <w:bookmarkStart w:id="836" w:name="Tc_xRmfJcW4fEKvtqFgpMlstQ_49_2"/>
      <w:bookmarkStart w:id="837" w:name="Tc_hThpdhHkrEGktGzkiRH5ig_49_0"/>
      <w:bookmarkStart w:id="838" w:name="Tc_58WAhljRAkSvMSs-gcZGEQ_48_0"/>
      <w:bookmarkStart w:id="839" w:name="Tc_J-WAZTd3IUqhdJ6LdKX7_w_47_0"/>
      <w:bookmarkStart w:id="840" w:name="Tc_X1FRsJZblkapkFCO6EN7VQ_46_0"/>
      <w:bookmarkStart w:id="841" w:name="Tc__QQ6heoCW0SRruJFDj-_ow_45_0"/>
      <w:bookmarkStart w:id="842" w:name="Tc_VKaCjIR4_02hregyZvi61g_44_6"/>
      <w:bookmarkStart w:id="843" w:name="Tc_EHaplJ_hB0CxBow7atMeRg_44_0"/>
      <w:bookmarkStart w:id="844" w:name="Tc_jeVT8UMB1ESsi-i1EiG-Iw_43_0"/>
      <w:bookmarkStart w:id="845" w:name="Tc_Wne1h4HkY0mXE2pi3nUnrg_42_0"/>
      <w:bookmarkStart w:id="846" w:name="Tc_nlRdC0-2T0OsPq5oqaQ-pw_41_0"/>
      <w:bookmarkStart w:id="847" w:name="Tc_3SOWx9oNcE2KghgyuxvG8A_40_0"/>
      <w:bookmarkStart w:id="848" w:name="Tc_4DgfN20-dEmLxCJK7gyzmg_39_3"/>
      <w:bookmarkStart w:id="849" w:name="Tc_PB4aTF4VmUaBQfZfTV1e2Q_39_0"/>
      <w:bookmarkStart w:id="850" w:name="Tc_v41thUV7h0q45D-AJMY5Nw_38_0"/>
      <w:bookmarkStart w:id="851" w:name="Tc_pxu1XtMMv0CjVo1DKbafPA_37_0"/>
      <w:bookmarkStart w:id="852" w:name="Tc_qpSikXE-vUqLNbzULNAntw_36_3"/>
      <w:bookmarkStart w:id="853" w:name="Tc_ABV2LDDPxk29kgi2cEtMGA_36_0"/>
      <w:bookmarkStart w:id="854" w:name="Tc_thOZSip9D0ikSEDN4IlFVg_35_0"/>
      <w:bookmarkStart w:id="855" w:name="Tc_iGKzYRsNYUioyUQESdMqlA_34_0"/>
      <w:bookmarkStart w:id="856" w:name="Tc_c87gkeuNk0OSbLuT7TalSg_33_0"/>
      <w:bookmarkStart w:id="857" w:name="Tc_ukO4LEj0e0id2xIDfBWUkA_32_0"/>
      <w:bookmarkStart w:id="858" w:name="Tc__041Bn-QqEOb_QM2R3nneA_31_0"/>
      <w:bookmarkStart w:id="859" w:name="Tc_KTfO2I7s6U2DC4BnhDDcpQ_30_0"/>
      <w:bookmarkStart w:id="860" w:name="Tc_7lR4LPIPgUOXG-UATo_VDg_29_0"/>
      <w:bookmarkStart w:id="861" w:name="Tc_ASEw2tXl9EGOOFmqlq3unA_28_0"/>
      <w:bookmarkStart w:id="862" w:name="Tc_uLceWAR7z0SdR0xeh4gO9Q_27_0"/>
      <w:bookmarkStart w:id="863" w:name="Tc_WGqA_Uj9wECeC8RUFc6ZgQ_26_0"/>
      <w:bookmarkStart w:id="864" w:name="Tc_cQp-4LZ0JUSqZcK4jCusug_25_0"/>
      <w:bookmarkStart w:id="865" w:name="Tc_CBV8zerpRUiILHQTGlHAXg_24_0"/>
      <w:bookmarkStart w:id="866" w:name="Tc_XnKBixsaaE6aB_zg8lNsEg_23_0"/>
      <w:bookmarkStart w:id="867" w:name="Tc_6UTcsZVVdkeFWZeY_zhI8A_22_0"/>
      <w:bookmarkStart w:id="868" w:name="Tc_fdZ7T1KE0kunE4SMWZnbdw_21_0"/>
      <w:bookmarkStart w:id="869" w:name="Tc_sQKDJsPXc0qXZotbnNOgyA_20_0"/>
      <w:bookmarkStart w:id="870" w:name="Tc_C6ukAv0DLEyiV9OxnNof2g_19_0"/>
      <w:bookmarkStart w:id="871" w:name="Tc__fgi6ZNgqUCRpZ_sHUrOBA_18_0"/>
      <w:bookmarkStart w:id="872" w:name="Tc_u4-19oh70EW7Y6HWc0K8VQ_17_0"/>
      <w:bookmarkStart w:id="873" w:name="Tc_gP9Dol5MN0uvR72dZ-TX4A_16_0"/>
      <w:bookmarkStart w:id="874" w:name="Tc_3TpQ9FsjvUKHoW8poWeMAQ_15_0"/>
      <w:bookmarkStart w:id="875" w:name="Tc_mXfLTQIl00SEyStsO5tsAw_14_0"/>
      <w:bookmarkStart w:id="876" w:name="Tc_qguJ5vP9YkSRUEh3ftGxnQ_13_0"/>
      <w:bookmarkStart w:id="877" w:name="Tc_ShNYFwnqDUe-kydX4z_uaw_12_0"/>
      <w:bookmarkStart w:id="878" w:name="Tc_S608LlbTb02J005vQ3nTMg_11_0"/>
      <w:bookmarkStart w:id="879" w:name="Tc_u0qT2ZiQ2kS5B6ByjfzuzA_10_0"/>
      <w:bookmarkStart w:id="880" w:name="Tc_DH0v9oGcLUmJFv5UpcoJiQ_9_0"/>
      <w:bookmarkStart w:id="881" w:name="Tc_rVG5Y2hW8kijtfNQl5Tl4w_8_0"/>
      <w:bookmarkStart w:id="882" w:name="Tc_3-KwnI1-FkW0xAgZfArk2Q_7_0"/>
      <w:bookmarkStart w:id="883" w:name="Tc_AbiQNhCA9UGJIEXAhxChfw_6_0"/>
      <w:bookmarkStart w:id="884" w:name="Tc_T8H9a1FwCkOES2QLUxDzlw_5_5"/>
      <w:bookmarkStart w:id="885" w:name="Tc_QWsJiKg9zk6r5SBocSedIA_5_2"/>
      <w:bookmarkStart w:id="886" w:name="Tc_fvavM4Gt4kOFneDKJFGpBQ_5_0"/>
      <w:bookmarkStart w:id="887" w:name="Tc_SaZbR4fcVkG0MiMnaQnWIQ_4_0"/>
      <w:bookmarkStart w:id="888" w:name="Tc_RL540VZyokCwPDRa01KpDw_3_5"/>
      <w:bookmarkStart w:id="889" w:name="Tc_qv1zs-rfqkC3MOF5kTgDcA_3_2"/>
      <w:bookmarkStart w:id="890" w:name="Tc_fq9H21cUKEuyL0s5PwcuNQ_2_2"/>
      <w:bookmarkStart w:id="891" w:name="Tc_VwpQADH-SkqQu2aILrWdhw_1_2"/>
      <w:bookmarkStart w:id="892" w:name="_30307c34_96ca_4bce_bcd2_429cf05d67a6"/>
      <w:bookmarkStart w:id="893" w:name="Tc_w4fzG_dcVUueWAsuripMfQ_49_5"/>
      <w:bookmarkStart w:id="894" w:name="Tc_xRmfJcW4fEKvtqFgpMlstQ_49_2"/>
      <w:bookmarkStart w:id="895" w:name="Tc_hThpdhHkrEGktGzkiRH5ig_49_0"/>
      <w:bookmarkStart w:id="896" w:name="Tc_58WAhljRAkSvMSs-gcZGEQ_48_0"/>
      <w:bookmarkStart w:id="897" w:name="Tc_J-WAZTd3IUqhdJ6LdKX7_w_47_0"/>
      <w:bookmarkStart w:id="898" w:name="Tc_X1FRsJZblkapkFCO6EN7VQ_46_0"/>
      <w:bookmarkStart w:id="899" w:name="Tc__QQ6heoCW0SRruJFDj-_ow_45_0"/>
      <w:bookmarkStart w:id="900" w:name="Tc_VKaCjIR4_02hregyZvi61g_44_6"/>
      <w:bookmarkStart w:id="901" w:name="Tc_EHaplJ_hB0CxBow7atMeRg_44_0"/>
      <w:bookmarkStart w:id="902" w:name="Tc_jeVT8UMB1ESsi-i1EiG-Iw_43_0"/>
      <w:bookmarkStart w:id="903" w:name="Tc_Wne1h4HkY0mXE2pi3nUnrg_42_0"/>
      <w:bookmarkStart w:id="904" w:name="Tc_nlRdC0-2T0OsPq5oqaQ-pw_41_0"/>
      <w:bookmarkStart w:id="905" w:name="Tc_3SOWx9oNcE2KghgyuxvG8A_40_0"/>
      <w:bookmarkStart w:id="906" w:name="Tc_4DgfN20-dEmLxCJK7gyzmg_39_3"/>
      <w:bookmarkStart w:id="907" w:name="Tc_PB4aTF4VmUaBQfZfTV1e2Q_39_0"/>
      <w:bookmarkStart w:id="908" w:name="Tc_v41thUV7h0q45D-AJMY5Nw_38_0"/>
      <w:bookmarkStart w:id="909" w:name="Tc_pxu1XtMMv0CjVo1DKbafPA_37_0"/>
      <w:bookmarkStart w:id="910" w:name="Tc_qpSikXE-vUqLNbzULNAntw_36_3"/>
      <w:bookmarkStart w:id="911" w:name="Tc_ABV2LDDPxk29kgi2cEtMGA_36_0"/>
      <w:bookmarkStart w:id="912" w:name="Tc_thOZSip9D0ikSEDN4IlFVg_35_0"/>
      <w:bookmarkStart w:id="913" w:name="Tc_iGKzYRsNYUioyUQESdMqlA_34_0"/>
      <w:bookmarkStart w:id="914" w:name="Tc_c87gkeuNk0OSbLuT7TalSg_33_0"/>
      <w:bookmarkStart w:id="915" w:name="Tc_ukO4LEj0e0id2xIDfBWUkA_32_0"/>
      <w:bookmarkStart w:id="916" w:name="Tc__041Bn-QqEOb_QM2R3nneA_31_0"/>
      <w:bookmarkStart w:id="917" w:name="Tc_KTfO2I7s6U2DC4BnhDDcpQ_30_0"/>
      <w:bookmarkStart w:id="918" w:name="Tc_7lR4LPIPgUOXG-UATo_VDg_29_0"/>
      <w:bookmarkStart w:id="919" w:name="Tc_ASEw2tXl9EGOOFmqlq3unA_28_0"/>
      <w:bookmarkStart w:id="920" w:name="Tc_uLceWAR7z0SdR0xeh4gO9Q_27_0"/>
      <w:bookmarkStart w:id="921" w:name="Tc_WGqA_Uj9wECeC8RUFc6ZgQ_26_0"/>
      <w:bookmarkStart w:id="922" w:name="Tc_cQp-4LZ0JUSqZcK4jCusug_25_0"/>
      <w:bookmarkStart w:id="923" w:name="Tc_CBV8zerpRUiILHQTGlHAXg_24_0"/>
      <w:bookmarkStart w:id="924" w:name="Tc_XnKBixsaaE6aB_zg8lNsEg_23_0"/>
      <w:bookmarkStart w:id="925" w:name="Tc_6UTcsZVVdkeFWZeY_zhI8A_22_0"/>
      <w:bookmarkStart w:id="926" w:name="Tc_fdZ7T1KE0kunE4SMWZnbdw_21_0"/>
      <w:bookmarkStart w:id="927" w:name="Tc_sQKDJsPXc0qXZotbnNOgyA_20_0"/>
      <w:bookmarkStart w:id="928" w:name="Tc_C6ukAv0DLEyiV9OxnNof2g_19_0"/>
      <w:bookmarkStart w:id="929" w:name="Tc__fgi6ZNgqUCRpZ_sHUrOBA_18_0"/>
      <w:bookmarkStart w:id="930" w:name="Tc_u4-19oh70EW7Y6HWc0K8VQ_17_0"/>
      <w:bookmarkStart w:id="931" w:name="Tc_gP9Dol5MN0uvR72dZ-TX4A_16_0"/>
      <w:bookmarkStart w:id="932" w:name="Tc_3TpQ9FsjvUKHoW8poWeMAQ_15_0"/>
      <w:bookmarkStart w:id="933" w:name="Tc_mXfLTQIl00SEyStsO5tsAw_14_0"/>
      <w:bookmarkStart w:id="934" w:name="Tc_qguJ5vP9YkSRUEh3ftGxnQ_13_0"/>
      <w:bookmarkStart w:id="935" w:name="Tc_ShNYFwnqDUe-kydX4z_uaw_12_0"/>
      <w:bookmarkStart w:id="936" w:name="Tc_S608LlbTb02J005vQ3nTMg_11_0"/>
      <w:bookmarkStart w:id="937" w:name="Tc_u0qT2ZiQ2kS5B6ByjfzuzA_10_0"/>
      <w:bookmarkStart w:id="938" w:name="Tc_DH0v9oGcLUmJFv5UpcoJiQ_9_0"/>
      <w:bookmarkStart w:id="939" w:name="Tc_rVG5Y2hW8kijtfNQl5Tl4w_8_0"/>
      <w:bookmarkStart w:id="940" w:name="Tc_3-KwnI1-FkW0xAgZfArk2Q_7_0"/>
      <w:bookmarkStart w:id="941" w:name="Tc_AbiQNhCA9UGJIEXAhxChfw_6_0"/>
      <w:bookmarkStart w:id="942" w:name="Tc_T8H9a1FwCkOES2QLUxDzlw_5_5"/>
      <w:bookmarkStart w:id="943" w:name="Tc_QWsJiKg9zk6r5SBocSedIA_5_2"/>
      <w:bookmarkStart w:id="944" w:name="Tc_fvavM4Gt4kOFneDKJFGpBQ_5_0"/>
      <w:bookmarkStart w:id="945" w:name="Tc_SaZbR4fcVkG0MiMnaQnWIQ_4_0"/>
      <w:bookmarkStart w:id="946" w:name="Tc_RL540VZyokCwPDRa01KpDw_3_5"/>
      <w:bookmarkStart w:id="947" w:name="Tc_qv1zs-rfqkC3MOF5kTgDcA_3_2"/>
      <w:bookmarkStart w:id="948" w:name="Tc_fq9H21cUKEuyL0s5PwcuNQ_2_2"/>
      <w:bookmarkStart w:id="949" w:name="Tc_VwpQADH-SkqQu2aILrWdhw_1_2"/>
      <w:bookmarkStart w:id="950" w:name="_30307c34_96ca_4bce_bcd2_429cf05d67a6"/>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p>
    <w:tbl>
      <w:tblPr>
        <w:tblW w:w="9513" w:type="dxa"/>
        <w:jc w:val="left"/>
        <w:tblInd w:w="0" w:type="dxa"/>
        <w:tblLayout w:type="fixed"/>
        <w:tblCellMar>
          <w:top w:w="0" w:type="dxa"/>
          <w:left w:w="0" w:type="dxa"/>
          <w:bottom w:w="0" w:type="dxa"/>
          <w:right w:w="0" w:type="dxa"/>
        </w:tblCellMar>
      </w:tblPr>
      <w:tblGrid>
        <w:gridCol w:w="6481"/>
        <w:gridCol w:w="346"/>
        <w:gridCol w:w="196"/>
        <w:gridCol w:w="946"/>
        <w:gridCol w:w="346"/>
        <w:gridCol w:w="196"/>
        <w:gridCol w:w="811"/>
        <w:gridCol w:w="19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115435" cy="175260"/>
                      <wp:effectExtent l="0" t="0" r="0" b="0"/>
                      <wp:wrapNone/>
                      <wp:docPr id="67" name="Frame67"/>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0710" cy="175260"/>
                      <wp:effectExtent l="0" t="0" r="0" b="0"/>
                      <wp:wrapNone/>
                      <wp:docPr id="70" name="Frame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4985" cy="175260"/>
                      <wp:effectExtent l="0" t="0" r="0" b="0"/>
                      <wp:wrapNone/>
                      <wp:docPr id="73" name="Frame7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1285" cy="175260"/>
                      <wp:effectExtent l="0" t="0" r="0" b="0"/>
                      <wp:wrapNone/>
                      <wp:docPr id="74" name="Frame7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691,752</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identifiable 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59,432</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22,535</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provision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7,537</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sale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the fair value of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15,746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of acquisitions and divestitures—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(1,166,982)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(19,518)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Costs and estimated earnings in excess of billings and unbilled 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(119,619)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(194,715)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Billings in excess of costs and estimated earnings and 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1,692,696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564,746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2,538,380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717,816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(499,437)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(88,813)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(128,594)</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(28,999)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(788,573)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(235,996)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revolving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other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financing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dividends to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(124,426)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received in lieu of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options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acquisition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contingent consideration arrangements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(46,302)</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(573,678)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(171,236)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1,176,129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310,584</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2,158,027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860,523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lineRule="atLeast" w:line="180" w:before="0" w:after="0"/>
        <w:ind w:left="0" w:right="0" w:hanging="0"/>
        <w:jc w:val="center"/>
        <w:rPr/>
      </w:pPr>
      <w:r>
        <w:rPr/>
        <w:t>​</w:t>
      </w:r>
    </w:p>
    <w:p>
      <w:pPr>
        <w:pStyle w:val="TextBody"/>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tLeast" w:line="180" w:before="0" w:after="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951" w:name="CONDENSEDNOTESTOCONSOLIDATEDFINANCIALSTA"/>
      <w:bookmarkEnd w:id="951"/>
      <w:r>
        <w:rPr>
          <w:rFonts w:ascii="Times New Roman;Times;serif" w:hAnsi="Times New Roman;Times;serif"/>
          <w:b/>
          <w:sz w:val="20"/>
        </w:rPr>
        <w:t>CONDENSED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Business and Organization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systems throughout the United States.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Estimates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2025 (the “Form 10-K”).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accounting for income taxes, fair value accounting for acquisitions, and the quantification of fair value for reporting units in connection with our goodwill impairment testing. </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not identified any material developments related to recent accounting pronouncements since those disclosed in its Annual Report on Form 10-K for the year ended December 31, 2025.</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As with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Accounts Receivable and Allowance for Credit Losses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 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United States, and the current and forecasted nonresidential construction market trends in the United States.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loss-rate calculations discussed above, we also record allowance for credit losses for specific receivables that are deemed to have a higher risk profile than the rest of the respective pool of receivables (</w:t>
      </w:r>
      <w:r>
        <w:rPr>
          <w:rFonts w:ascii="Times New Roman;Times;serif" w:hAnsi="Times New Roman;Times;serif"/>
          <w:i/>
          <w:sz w:val="20"/>
        </w:rPr>
        <w:t>e.g.</w:t>
      </w:r>
      <w:r>
        <w:rPr>
          <w:rFonts w:ascii="Times New Roman;Times;serif" w:hAnsi="Times New Roman;Times;serif"/>
          <w:sz w:val="20"/>
        </w:rPr>
        <w:t>, when we have concerns about a specific customer going bankrupt and no longer being able to pay the receivables due to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Unbilled Accounts Receivable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Unbilled accounts receivable are amounts due to us that we have earned under a contract where our right to payment is unconditional. A right to consideration is unconditional if only the passage of time is required before payment of the consideration is due. These items are expected to be billed and collected in the normal course of business. Other unbilled receivables where payment is subject to factors beyond just the passage of time are included in contract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conduct business throughout the United States in virtually all 50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rate. These items can also include the tax treatment for impairment of goodwill and other intangible assets, changes in fair value of acquisition-related assets and liabilities, uncertain tax positions, and accounting for losses associated with underperforming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February 2023, we filed amended federal tax returns for 2019 and 2020 requesting refunds primarily from claiming the credit for increasing research activities (the “R&amp;D tax credit”). We previously recorded benefits of $18.9 million for such refund claims in the year 2022. Following an Internal Revenue Service (“IRS”) examination, the Joint Committee on Taxation approved our refunds in May 2026. As a result, our provision for income taxes in the second quarter of 2026 included a $5.3 million benefit due to a reduction in unrecognized tax benefits plus $1.4 million (or $1.1 million, net of tax) of related interest income. The cash refunds totaling $29.8 million, which were received in July 2026, include $5.3 million (or $4.2 million, net of tax) of interest income.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early September 2023, the IRS issued interim guidance addressing, together with other topics, the treatment of research and experimental (“R&amp;E”) expenditures for taxpayers using the percentage of completion method to account for taxable income from long-term contracts. We relied on such guidance for the 2022 tax year, and the resulting reduction in taxable revenue offsets the deferral of tax deductions for R&amp;E expenditures pursuant to the Tax Cuts and Jobs Act (2017) for the 2022 tax year. We filed our 2022 federal tax return in October 2023 requesting a refund of our $107.1 million overpayment, which was received in April 2025. Along with the refund, we received $11.3 million (or $8.9 million, net of tax) of interest income that reduced our provision for income taxes in the first quarter of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One Big Beautiful Bill Act was enacted into law on July 4, 2025. The primary provisions of the law impacting us are the (i) reinstatement of immediate expensing of domestic R&amp;E expenditures, together with conforming amendments to the credit for increasing research activities, (ii) reinstatement of 100% bonus depreciation, and (iii) termination of the energy efficient commercial buildings deduction. However, these provisions did not, and we expect will not, have a material effect on our operating results, cash flows, or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financial instruments consist of cash and cash equivalents, U.S. Treasury bills, accounts receivable, other receivables, and accounts payable, for which we deem the carrying values approximate their fair values due to the short-term nature of these instruments, as well as notes to former owners and a revolving credit facility. </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we had a $65.8 million investment in U.S. Treasury bills with maturities greater than 90 days but less than one year, which is recorded at amortized cost and is included in “Prepaid expenses and other” in our Consolidated Balance Sheets.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Revenue from Contracts with Customers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 mechanical and electrical contracting services. Our mechanical segment principally includes HVAC, plumbing, piping, and controls, as well as off-site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either written authorization from the customer to proceed or an executed contract.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generally do not incur significant incremental costs related to obtaining or fulfilling a contract prior to the start of a project. On rare occasions, when significant pre-contract costs are incurred, they are capitalized and amortized over the life of the contract using a cost-to-cost input method to measure progress towards contract completion. We do not currently have any capitalized obtainment or fulfillment costs in our Consolidated Balance Sheets and have not incurred any impairment loss on such costs in the current year.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w:t>
      </w:r>
      <w:r>
        <w:rPr>
          <w:rFonts w:ascii="Times New Roman;Times;serif" w:hAnsi="Times New Roman;Times;serif"/>
          <w:i/>
          <w:sz w:val="20"/>
        </w:rPr>
        <w:t>e.g.</w:t>
      </w:r>
      <w:r>
        <w:rPr>
          <w:rFonts w:ascii="Times New Roman;Times;serif" w:hAnsi="Times New Roman;Times;serif"/>
          <w:sz w:val="20"/>
        </w:rPr>
        <w:t>, the number and type of milestone events), technical requirements (</w:t>
      </w:r>
      <w:r>
        <w:rPr>
          <w:rFonts w:ascii="Times New Roman;Times;serif" w:hAnsi="Times New Roman;Times;serif"/>
          <w:i/>
          <w:sz w:val="20"/>
        </w:rPr>
        <w:t>e.g.</w:t>
      </w:r>
      <w:r>
        <w:rPr>
          <w:rFonts w:ascii="Times New Roman;Times;serif" w:hAnsi="Times New Roman;Times;serif"/>
          <w:sz w:val="20"/>
        </w:rPr>
        <w:t>,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w:t>
      </w:r>
      <w:r>
        <w:rPr>
          <w:rFonts w:ascii="Times New Roman;Times;serif" w:hAnsi="Times New Roman;Times;serif"/>
          <w:i/>
          <w:sz w:val="20"/>
        </w:rPr>
        <w:t>e.g.</w:t>
      </w:r>
      <w:r>
        <w:rPr>
          <w:rFonts w:ascii="Times New Roman;Times;serif" w:hAnsi="Times New Roman;Times;serif"/>
          <w:sz w:val="20"/>
        </w:rPr>
        <w:t>,</w:t>
      </w:r>
      <w:r>
        <w:rPr>
          <w:rFonts w:ascii="Times New Roman;Times;serif" w:hAnsi="Times New Roman;Times;serif"/>
          <w:sz w:val="20"/>
          <w:shd w:fill="FFFFFF" w:val="clear"/>
        </w:rPr>
        <w:t xml:space="preserve"> to estimate increases in wages and prices for materials and related support cost allocations)</w:t>
      </w:r>
      <w:r>
        <w:rPr>
          <w:rFonts w:ascii="Times New Roman;Times;serif" w:hAnsi="Times New Roman;Times;serif"/>
          <w:sz w:val="20"/>
        </w:rPr>
        <w:t xml:space="preserve">, execution by our subcontractors, the availability and timing of funding from our customer, and overhead cost rates, among other variables.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our </w:t>
      </w:r>
      <w:r>
        <w:rPr>
          <w:rFonts w:ascii="Times New Roman;Times;serif" w:hAnsi="Times New Roman;Times;serif"/>
          <w:sz w:val="20"/>
          <w:shd w:fill="FFFFFF" w:val="clear"/>
        </w:rPr>
        <w:t xml:space="preserve">progress towards complete satisfaction of a performance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52" w:name="Tc_OaHtFm1ajUSv4kWRmnknLQ_26_24"/>
      <w:bookmarkStart w:id="953" w:name="Tc_w6nSLRZw00eKx2OBsMr_OA_26_20"/>
      <w:bookmarkStart w:id="954" w:name="Tc_YbmeKCkR0Umx5mKyqS_j4Q_26_18"/>
      <w:bookmarkStart w:id="955" w:name="Tc_sTFZcLBCi0S_0RqJ9kvhtw_26_14"/>
      <w:bookmarkStart w:id="956" w:name="Tc_DmEbycauX0KvnE5-VxyyYQ_26_12"/>
      <w:bookmarkStart w:id="957" w:name="Tc_e3yexFQ-30u0f-KEmjdC4w_26_8"/>
      <w:bookmarkStart w:id="958" w:name="Tc_Q6SyLl1FeUyRxiktZ0-Rig_26_6"/>
      <w:bookmarkStart w:id="959" w:name="Tc_4RHJdgMC3E6EePYn9exxNA_26_2"/>
      <w:bookmarkStart w:id="960" w:name="Tc_Ui2rjSfqS0WTxiwWdMoeRg_26_0"/>
      <w:bookmarkStart w:id="961" w:name="Tc_BdNsbuFtW0m-k7k140ZXbQ_25_24"/>
      <w:bookmarkStart w:id="962" w:name="Tc_yTPxKrpjHUiaqQx_IDZp_g_25_18"/>
      <w:bookmarkStart w:id="963" w:name="Tc_b_L_P6Yy7UKNonDpsNFEfg_25_12"/>
      <w:bookmarkStart w:id="964" w:name="Tc_zxSwrdJFRU6GhXK1fp-QOw_25_6"/>
      <w:bookmarkStart w:id="965" w:name="Tc_baVwEydX2EePBdRuCBshmA_25_0"/>
      <w:bookmarkStart w:id="966" w:name="Tc_ahw5V44nwUirvLf7ndPJww_24_24"/>
      <w:bookmarkStart w:id="967" w:name="Tc_RhyVK9YwdESuA9LacYS3ow_24_18"/>
      <w:bookmarkStart w:id="968" w:name="Tc_sMgev5FNJEiJjskOaARy-A_24_12"/>
      <w:bookmarkStart w:id="969" w:name="Tc_0qgdbFqC8EGM-bTEVQIezw_24_6"/>
      <w:bookmarkStart w:id="970" w:name="Tc_cjJH2NK_SEmZv2rD08lFZg_24_0"/>
      <w:bookmarkStart w:id="971" w:name="Tc_qnwz6FviTUOJl5vh2Mmqcg_23_24"/>
      <w:bookmarkStart w:id="972" w:name="Tc_yt79yJ71oUixRWwThS648g_23_18"/>
      <w:bookmarkStart w:id="973" w:name="Tc_iuTZlPNsnUeCrRFTjygrqg_23_12"/>
      <w:bookmarkStart w:id="974" w:name="Tc_wlQDK-_xH0mqLMD7n7WMDw_23_6"/>
      <w:bookmarkStart w:id="975" w:name="Tc_27IRFk9d80mAfNdtGvpW5A_23_0"/>
      <w:bookmarkStart w:id="976" w:name="Tc_Q_Q4MV9mc02CnDn3_5tA9A_22_24"/>
      <w:bookmarkStart w:id="977" w:name="Tc_d-zWZ8NGdku2meQ-HMRMMw_22_20"/>
      <w:bookmarkStart w:id="978" w:name="Tc_5XK_B7J_QEiDUVr6xNs0_A_22_18"/>
      <w:bookmarkStart w:id="979" w:name="Tc_v9T37Tyf3Ui2kqApt7wkOQ_22_14"/>
      <w:bookmarkStart w:id="980" w:name="Tc_i8mKhRbHBEaWSL23rqwkVw_22_12"/>
      <w:bookmarkStart w:id="981" w:name="Tc_4IgQ8S-vP0qS2J71nh-aKQ_22_8"/>
      <w:bookmarkStart w:id="982" w:name="Tc_XrXjqIgRUEmXBM919ueKLQ_22_6"/>
      <w:bookmarkStart w:id="983" w:name="Tc_Rm9iwJhgy0KiIACYcbl_1A_22_2"/>
      <w:bookmarkStart w:id="984" w:name="Tc_JinAcSAvm02rXgh3xgW2Fw_22_0"/>
      <w:bookmarkStart w:id="985" w:name="Tc_xRW9cZoFM0GXzvonrZCYcw_21_20"/>
      <w:bookmarkStart w:id="986" w:name="Tc_3qvESG4_Fk2qVwYoB__AkQ_21_14"/>
      <w:bookmarkStart w:id="987" w:name="Tc_b8YTFNx4xkupQFdrah7y3Q_21_8"/>
      <w:bookmarkStart w:id="988" w:name="Tc_k9PO1ZO-LUa1Gqvgqe4SCg_21_2"/>
      <w:bookmarkStart w:id="989" w:name="Tc_BWk2IKH1YkOKjTaPTy_P_g_21_0"/>
      <w:bookmarkStart w:id="990" w:name="Tc_cagQjA9dXUiEOKAKYAnesA_20_14"/>
      <w:bookmarkStart w:id="991" w:name="Tc_NG0_mbfIDE2bQJ_aiU8FIg_20_2"/>
      <w:bookmarkStart w:id="992" w:name="Tc_Kv_KEdh7Ak6LY9_d-uA70A_18_24"/>
      <w:bookmarkStart w:id="993" w:name="Tc_7Z8h9y21D0iVPWsG0LGPNw_18_20"/>
      <w:bookmarkStart w:id="994" w:name="Tc_8t1gEwuQ0k2s7btzHzlEPA_18_18"/>
      <w:bookmarkStart w:id="995" w:name="Tc_UtTGIwrSmEClstZXmBTQ0A_18_14"/>
      <w:bookmarkStart w:id="996" w:name="Tc_5a1kBPXbV0mzONb3kGx4Uw_18_12"/>
      <w:bookmarkStart w:id="997" w:name="Tc_Xm3Jfqdaw0iCpDfTIhyqoA_18_8"/>
      <w:bookmarkStart w:id="998" w:name="Tc_V_XPDYhWo0CPAG_vFt524w_18_6"/>
      <w:bookmarkStart w:id="999" w:name="Tc_J9mhBBeaqka-HcJ1UWKcsA_18_2"/>
      <w:bookmarkStart w:id="1000" w:name="Tc_j3pyOrolA0eINuuOyq3GUg_18_0"/>
      <w:bookmarkStart w:id="1001" w:name="Tc_pXZLej5-QEi7Pk3FqI1t8g_17_24"/>
      <w:bookmarkStart w:id="1002" w:name="Tc_cbkuQ6_KzUiWdiWJF6nCDg_17_18"/>
      <w:bookmarkStart w:id="1003" w:name="Tc__OWh2Oi7vEWfglld3GRkOQ_17_12"/>
      <w:bookmarkStart w:id="1004" w:name="Tc_mnz37dOvgUi2svGkMNKuyw_17_6"/>
      <w:bookmarkStart w:id="1005" w:name="Tc_9tuQ1KUi6EiOFu3QhcSqug_17_0"/>
      <w:bookmarkStart w:id="1006" w:name="Tc_L5zS1mFJ4kC5ai-fbOgxKg_16_24"/>
      <w:bookmarkStart w:id="1007" w:name="Tc_P66XOpzxrU-up9vh8TDtOw_16_18"/>
      <w:bookmarkStart w:id="1008" w:name="Tc_Xi8EPRB8H0S05xWZ4szkxg_16_12"/>
      <w:bookmarkStart w:id="1009" w:name="Tc_Bm4nUBIUi0K8vcAxqfyszw_16_6"/>
      <w:bookmarkStart w:id="1010" w:name="Tc_DDs0buzbJUuDfkOQ2w4GBw_16_0"/>
      <w:bookmarkStart w:id="1011" w:name="Tc_KPCYFu-YVkCPa_ISRrTFRw_15_24"/>
      <w:bookmarkStart w:id="1012" w:name="Tc_meXb60OGyE6BSrj9ZqLx7Q_15_18"/>
      <w:bookmarkStart w:id="1013" w:name="Tc_fD4BhwyVqEePh5JZbW2XmA_15_12"/>
      <w:bookmarkStart w:id="1014" w:name="Tc_hpixpNzFGEOygUqDwIkPDg_15_6"/>
      <w:bookmarkStart w:id="1015" w:name="Tc_Og15uPuShEOkuiemkG00TA_15_0"/>
      <w:bookmarkStart w:id="1016" w:name="Tc_s2g_pe2NbE-CD-H7wVANSA_14_24"/>
      <w:bookmarkStart w:id="1017" w:name="Tc_evd1dmarX0yDaxnT7Wm2YQ_14_18"/>
      <w:bookmarkStart w:id="1018" w:name="Tc_30ITGQ4G_0Ku7EpGGM3Thg_14_12"/>
      <w:bookmarkStart w:id="1019" w:name="Tc_NX6JvCcD50y19FtaO_E9wA_14_6"/>
      <w:bookmarkStart w:id="1020" w:name="Tc_248GYZyjh0uDGs6DpRAq3g_14_0"/>
      <w:bookmarkStart w:id="1021" w:name="Tc_hJNzwdIo80Sb_T6ztDSwTw_13_24"/>
      <w:bookmarkStart w:id="1022" w:name="Tc_2fxo5xQhrUSU8IngIHiv_g_13_18"/>
      <w:bookmarkStart w:id="1023" w:name="Tc_60pIXKbHWUG0NxAgl9qI-Q_13_12"/>
      <w:bookmarkStart w:id="1024" w:name="Tc_54bEp6cDUUiXTAL99Txplg_13_6"/>
      <w:bookmarkStart w:id="1025" w:name="Tc_OdAoKUe98Uu0n95cvi9ASQ_13_0"/>
      <w:bookmarkStart w:id="1026" w:name="Tc_XFwdaqcAGE-V-e1Nwm9ikQ_12_24"/>
      <w:bookmarkStart w:id="1027" w:name="Tc_YmyTvIx5h0Gr7kD6019Ung_12_18"/>
      <w:bookmarkStart w:id="1028" w:name="Tc_6WDDwc2TgUaGjgPdwZNJ2w_12_12"/>
      <w:bookmarkStart w:id="1029" w:name="Tc_4CYQAdvZ8ESOfGjN_K1Xww_12_6"/>
      <w:bookmarkStart w:id="1030" w:name="Tc_sZE-Q8BU5kigYxdY00e9BQ_12_0"/>
      <w:bookmarkStart w:id="1031" w:name="Tc_arl2JEJ080Su40iVuNtNBQ_11_24"/>
      <w:bookmarkStart w:id="1032" w:name="Tc_CG2aXvaorEGOP91dSzBWVg_11_18"/>
      <w:bookmarkStart w:id="1033" w:name="Tc_Hp7USHyIsEuxKRIPOja5NA_11_12"/>
      <w:bookmarkStart w:id="1034" w:name="Tc_NADBvJRZqUqKfiP2v4qDhg_11_6"/>
      <w:bookmarkStart w:id="1035" w:name="Tc_NJlWYOGHhUijTu-DrxQ1cw_11_0"/>
      <w:bookmarkStart w:id="1036" w:name="Tc_Ob7jpoP13EilqOxMnT9ZvQ_10_24"/>
      <w:bookmarkStart w:id="1037" w:name="Tc_k3yQaaVW2UeGHUBfEC2NcQ_10_18"/>
      <w:bookmarkStart w:id="1038" w:name="Tc_ViMo2_d4306E4Q9H4xXqTA_10_12"/>
      <w:bookmarkStart w:id="1039" w:name="Tc_YG4alWFWckSrS8Resqc75w_10_6"/>
      <w:bookmarkStart w:id="1040" w:name="Tc_vwwRZ58H10u9G2nbA_W5tA_10_0"/>
      <w:bookmarkStart w:id="1041" w:name="Tc_i4FNkx1UOUmeyGy6hMcuJw_9_24"/>
      <w:bookmarkStart w:id="1042" w:name="Tc_oy0B7Cq8ckmLpp620V1gSA_9_20"/>
      <w:bookmarkStart w:id="1043" w:name="Tc_32fcG_uSOU-sXqMw6DcSgQ_9_18"/>
      <w:bookmarkStart w:id="1044" w:name="Tc_59qao8O740y0VLcflBaYbg_9_14"/>
      <w:bookmarkStart w:id="1045" w:name="Tc_g8oMsdfuSU69sc9Eq0oAHA_9_12"/>
      <w:bookmarkStart w:id="1046" w:name="Tc_kKPgCYe93EOE8uJxhJYffA_9_8"/>
      <w:bookmarkStart w:id="1047" w:name="Tc_Ttvc8Sp6U0ajFiJY5u_pbw_9_6"/>
      <w:bookmarkStart w:id="1048" w:name="Tc_28zfJldQr0iD2KajEC61Ww_9_2"/>
      <w:bookmarkStart w:id="1049" w:name="Tc_OQbvrx8g5UesPJSSSET3Tg_9_0"/>
      <w:bookmarkStart w:id="1050" w:name="Tc_I-iMXUUtu0-ROjUV8tNo_g_8_20"/>
      <w:bookmarkStart w:id="1051" w:name="Tc_tbytsE-Wak2bHL9YxVT8kQ_8_14"/>
      <w:bookmarkStart w:id="1052" w:name="Tc_sq6pDVJe4Uug1dNX-wVWyg_8_8"/>
      <w:bookmarkStart w:id="1053" w:name="Tc_AOMPExzzgUqizo-KVHdYPA_8_2"/>
      <w:bookmarkStart w:id="1054" w:name="Tc_ty_HvOiXZUqtMsIdYNOnAg_8_0"/>
      <w:bookmarkStart w:id="1055" w:name="Tc_QJLEetMWlUyYLsbN8HXBRQ_7_14"/>
      <w:bookmarkStart w:id="1056" w:name="Tc_xfyI55O0xEGnquij4vEnCQ_7_2"/>
      <w:bookmarkStart w:id="1057" w:name="Tc_6Hp073-4vka-KP7kO7iIZQ_5_24"/>
      <w:bookmarkStart w:id="1058" w:name="Tc_Cba3x0ees0m431fey5iTDw_5_20"/>
      <w:bookmarkStart w:id="1059" w:name="Tc_Y6ox01kDfUyvFxRenrSg8w_5_18"/>
      <w:bookmarkStart w:id="1060" w:name="Tc_LRPb8HUVvUGsAc6ip8GKxw_5_14"/>
      <w:bookmarkStart w:id="1061" w:name="Tc_SX5Pu7nyR0C2ZNZpy7U-jQ_5_12"/>
      <w:bookmarkStart w:id="1062" w:name="Tc_XDOlOJC-H0O-kmtvZ2IuYw_5_8"/>
      <w:bookmarkStart w:id="1063" w:name="Tc__MS8Pu8vyEOQvoEvTtSpEw_5_6"/>
      <w:bookmarkStart w:id="1064" w:name="Tc_gN5avxREeEOcYsiHaN-0Ow_5_2"/>
      <w:bookmarkStart w:id="1065" w:name="Tc_LPajwFhy8Eqd1_97ZcAvcQ_5_0"/>
      <w:bookmarkStart w:id="1066" w:name="Tc_pgtMvWnAwEGazjDW5NiIww_4_24"/>
      <w:bookmarkStart w:id="1067" w:name="Tc_UikZesDrk0Ku7IrqLzb89w_4_18"/>
      <w:bookmarkStart w:id="1068" w:name="Tc_GidFYkyMcESJKDHlNYiB2w_4_12"/>
      <w:bookmarkStart w:id="1069" w:name="Tc_e6xYnci6X0C1lky-xBU0OQ_4_6"/>
      <w:bookmarkStart w:id="1070" w:name="Tc_n_7md94R20CtksRs8mVhlg_4_0"/>
      <w:bookmarkStart w:id="1071" w:name="Tc_8uBU00HV3ki8rC9MyYINtw_3_24"/>
      <w:bookmarkStart w:id="1072" w:name="Tc_9LXLm_B-3EWZ_cMb_IgzXA_3_20"/>
      <w:bookmarkStart w:id="1073" w:name="Tc_fv0J0rQFME-yg9mvGXJ-YQ_3_18"/>
      <w:bookmarkStart w:id="1074" w:name="Tc_KJnX9MrBs0mwO0LhMgFuaQ_3_14"/>
      <w:bookmarkStart w:id="1075" w:name="Tc_iPOG07TbCE2mlpb0dvW5pw_3_12"/>
      <w:bookmarkStart w:id="1076" w:name="Tc_CupvTe9kL0aTT1byAipyGQ_3_8"/>
      <w:bookmarkStart w:id="1077" w:name="Tc_5i1-yC7W5kSUvAlAlok3tQ_3_6"/>
      <w:bookmarkStart w:id="1078" w:name="Tc_WQinH-Rj1kq3hhzU44UAtA_3_2"/>
      <w:bookmarkStart w:id="1079" w:name="Tc_HdQhaO5dokGbwnBEOtDpqg_3_0"/>
      <w:bookmarkStart w:id="1080" w:name="Tc_czF4MvSfBU6f_eYw_nvpvw_2_20"/>
      <w:bookmarkStart w:id="1081" w:name="Tc_jkBzK3-kVEeJuPTbCnKQvw_2_14"/>
      <w:bookmarkStart w:id="1082" w:name="Tc_eLHlVmM5W0CHla-jP_tnpw_2_8"/>
      <w:bookmarkStart w:id="1083" w:name="Tc_8tNi__qH9EaWic5VxCtwYQ_2_2"/>
      <w:bookmarkStart w:id="1084" w:name="Tc_U3ipyYJDEEuHtBf9xvOVFw_2_0"/>
      <w:bookmarkStart w:id="1085" w:name="Tc_F3He-S5HjE6tKHoXHpEy6w_1_14"/>
      <w:bookmarkStart w:id="1086" w:name="Tc_eVbTpK3eZUyhCPhTsMIrmw_1_2"/>
      <w:bookmarkStart w:id="1087" w:name="_33fe3f48_630c_4261_9e66_cba89dd578a4"/>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sz w:val="20"/>
          <w:shd w:fill="FFFFFF" w:val="clear"/>
        </w:rPr>
        <w:t>obligation</w:t>
      </w:r>
      <w:r>
        <w:rPr>
          <w:rFonts w:ascii="Times New Roman;Times;serif" w:hAnsi="Times New Roman;Times;serif"/>
          <w:sz w:val="20"/>
        </w:rPr>
        <w:t>.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2026 and 2025, net revenue recognized from our performance obligations partially satisfied in the previous period positively impacted revenue by 4.5% and 4.0%, respectively, as a result of changes in estimates associated with performance obligations on contracts. During the nine months ended September 30, 2026 and 2025, net revenue recognized from our performance obligations partially satisfied in the previous period positively impacted revenue by 6.6% and 4.6%, respectively, as a result of changes in estimates associated with performance obligations on contracts.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consolidated 2026 revenue was derived from contracts to provide service activities in the mechanical and electrical segments we serve. Refer to Note 10, “Segment Information”, for additional information on our reportable segments. We disaggregate our revenue from contracts with customers by service provided, customer type, and activity type, as we believe it best depicts how the nature, amount, timing, and uncertainty of our revenue and cash flows are affected by economic factors. See details in the following tables (dollars in thousands):</w:t>
      </w:r>
    </w:p>
    <w:p>
      <w:pPr>
        <w:pStyle w:val="TextBody"/>
        <w:pBdr/>
        <w:bidi w:val="0"/>
        <w:spacing w:before="0" w:after="0"/>
        <w:ind w:left="720" w:right="0" w:hanging="360"/>
        <w:jc w:val="left"/>
        <w:rPr/>
      </w:pPr>
      <w:r>
        <w:rPr/>
        <w:t>​</w:t>
      </w:r>
    </w:p>
    <w:tbl>
      <w:tblPr>
        <w:tblW w:w="10660" w:type="dxa"/>
        <w:jc w:val="left"/>
        <w:tblInd w:w="0" w:type="dxa"/>
        <w:tblLayout w:type="fixed"/>
        <w:tblCellMar>
          <w:top w:w="0" w:type="dxa"/>
          <w:left w:w="0" w:type="dxa"/>
          <w:bottom w:w="0" w:type="dxa"/>
          <w:right w:w="0" w:type="dxa"/>
        </w:tblCellMar>
      </w:tblPr>
      <w:tblGrid>
        <w:gridCol w:w="1171"/>
        <w:gridCol w:w="286"/>
        <w:gridCol w:w="196"/>
        <w:gridCol w:w="826"/>
        <w:gridCol w:w="286"/>
        <w:gridCol w:w="511"/>
        <w:gridCol w:w="256"/>
        <w:gridCol w:w="286"/>
        <w:gridCol w:w="196"/>
        <w:gridCol w:w="826"/>
        <w:gridCol w:w="286"/>
        <w:gridCol w:w="511"/>
        <w:gridCol w:w="256"/>
        <w:gridCol w:w="286"/>
        <w:gridCol w:w="196"/>
        <w:gridCol w:w="826"/>
        <w:gridCol w:w="286"/>
        <w:gridCol w:w="511"/>
        <w:gridCol w:w="256"/>
        <w:gridCol w:w="286"/>
        <w:gridCol w:w="196"/>
        <w:gridCol w:w="826"/>
        <w:gridCol w:w="286"/>
        <w:gridCol w:w="511"/>
        <w:gridCol w:w="30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43585" cy="175260"/>
                      <wp:effectExtent l="0" t="0" r="0" b="0"/>
                      <wp:wrapNone/>
                      <wp:docPr id="75" name="Frame7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1610" cy="175260"/>
                      <wp:effectExtent l="0" t="0" r="0" b="0"/>
                      <wp:wrapNone/>
                      <wp:docPr id="76" name="Frame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24510" cy="175260"/>
                      <wp:effectExtent l="0" t="0" r="0" b="0"/>
                      <wp:wrapNone/>
                      <wp:docPr id="78" name="Frame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1610" cy="175260"/>
                      <wp:effectExtent l="0" t="0" r="0" b="0"/>
                      <wp:wrapNone/>
                      <wp:docPr id="79" name="Frame7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24485" cy="175260"/>
                      <wp:effectExtent l="0" t="0" r="0" b="0"/>
                      <wp:wrapNone/>
                      <wp:docPr id="80" name="Frame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2560" cy="175260"/>
                      <wp:effectExtent l="0" t="0" r="0" b="0"/>
                      <wp:wrapNone/>
                      <wp:docPr id="81" name="Frame8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1610" cy="175260"/>
                      <wp:effectExtent l="0" t="0" r="0" b="0"/>
                      <wp:wrapNone/>
                      <wp:docPr id="82" name="Frame8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4510" cy="175260"/>
                      <wp:effectExtent l="0" t="0" r="0" b="0"/>
                      <wp:wrapNone/>
                      <wp:docPr id="84" name="Frame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1610" cy="175260"/>
                      <wp:effectExtent l="0" t="0" r="0" b="0"/>
                      <wp:wrapNone/>
                      <wp:docPr id="85" name="Frame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24485" cy="175260"/>
                      <wp:effectExtent l="0" t="0" r="0" b="0"/>
                      <wp:wrapNone/>
                      <wp:docPr id="86" name="Frame8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2560" cy="175260"/>
                      <wp:effectExtent l="0" t="0" r="0" b="0"/>
                      <wp:wrapNone/>
                      <wp:docPr id="87" name="Frame8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1610" cy="175260"/>
                      <wp:effectExtent l="0" t="0" r="0" b="0"/>
                      <wp:wrapNone/>
                      <wp:docPr id="88" name="Frame8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24510" cy="175260"/>
                      <wp:effectExtent l="0" t="0" r="0" b="0"/>
                      <wp:wrapNone/>
                      <wp:docPr id="90" name="Frame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1610" cy="175260"/>
                      <wp:effectExtent l="0" t="0" r="0" b="0"/>
                      <wp:wrapNone/>
                      <wp:docPr id="91" name="Frame9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24485" cy="175260"/>
                      <wp:effectExtent l="0" t="0" r="0" b="0"/>
                      <wp:wrapNone/>
                      <wp:docPr id="92" name="Frame9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2560" cy="175260"/>
                      <wp:effectExtent l="0" t="0" r="0" b="0"/>
                      <wp:wrapNone/>
                      <wp:docPr id="93" name="Frame9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1610" cy="175260"/>
                      <wp:effectExtent l="0" t="0" r="0" b="0"/>
                      <wp:wrapNone/>
                      <wp:docPr id="94" name="Frame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24510" cy="175260"/>
                      <wp:effectExtent l="0" t="0" r="0" b="0"/>
                      <wp:wrapNone/>
                      <wp:docPr id="96" name="Frame9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1610" cy="175260"/>
                      <wp:effectExtent l="0" t="0" r="0" b="0"/>
                      <wp:wrapNone/>
                      <wp:docPr id="97"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24485" cy="175260"/>
                      <wp:effectExtent l="0" t="0" r="0" b="0"/>
                      <wp:wrapNone/>
                      <wp:docPr id="98" name="Frame9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91135" cy="175260"/>
                      <wp:effectExtent l="0" t="0" r="0" b="0"/>
                      <wp:wrapNone/>
                      <wp:docPr id="99" name="Frame9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Service Provided</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Mechanical segment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2,582,889</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1,810,462</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6,940,178</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4,851,349</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Electrical segment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1,183,413</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640,507</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2,957,112</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1,604,225</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3,766,302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2,450,969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9,897,290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6,455,574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Customer Type</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center"/>
              <w:rPr/>
            </w:pPr>
            <w:r>
              <w:rPr/>
              <w:t>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Technology</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2,290,001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1,122,528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5,823,870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2,734,280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Manufacturing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631,631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543,110</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1,703,430</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1,468,936</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Healthcare</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236,387</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206,965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687,704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589,848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Education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178,515</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171,707</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480,184</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527,794</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Government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139,255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122,284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415,075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326,318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Office buildings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100,033</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125,458</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272,841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358,445</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restaurants, and entertainment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99,942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88,503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271,121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250,619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Multi-family and residential</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44,821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35,342</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124,534</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96,909</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45,717</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35,072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118,531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102,425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3,766,302</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2,450,969</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9,897,290</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6,455,574</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Activity Type</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center"/>
              <w:rPr/>
            </w:pPr>
            <w:r>
              <w:rPr/>
              <w:t>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 construction</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2,868,291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1,597,452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7,455,849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3,919,402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Existing building construction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528,261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527,139</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1,448,331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1,626,978</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projects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190,592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150,383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473,422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415,868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calls, maintenance, and monitoring</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179,158</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175,995</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519,688</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493,326</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3,766,302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2,450,969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9,897,290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6,455,574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assets include unbilled amounts typically resulting from sales under long-term contracts when the cost-to-cost method of revenue recognition is used, revenue recognized exceeds the amount billed to the customer, and right to payment is conditional or subject to completing a milestone, such as a phase of the project. Contract assets are not considered to have a significant financing component, as they are intended to protect the customer in the event that we do not perform our obligations under the contract.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88" w:name="Tc__D_F0aruWkSHaLBsgjugUw_5_4"/>
      <w:bookmarkStart w:id="1089" w:name="Tc_xXUek8uB8EqK-3taHCgQyg_5_1"/>
      <w:bookmarkStart w:id="1090" w:name="Tc_5AnqRIMQeUCC-kJWPOsjtg_5_0"/>
      <w:bookmarkStart w:id="1091" w:name="Tc_UOZoe5lmrECtAkGyQ3co5A_4_0"/>
      <w:bookmarkStart w:id="1092" w:name="Tc_ghQhQ9fL402er0o5PRKnvA_3_4"/>
      <w:bookmarkStart w:id="1093" w:name="Tc_8euNbsA9kUetcfTDsGmrGQ_3_1"/>
      <w:bookmarkStart w:id="1094" w:name="Tc_5yxlIX6ohkyANsfBoOyW8Q_3_0"/>
      <w:bookmarkStart w:id="1095" w:name="Tc_otKi2wlP70Ww3MnhnDfm9g_2_0"/>
      <w:bookmarkStart w:id="1096" w:name="Tc_DTTahnHvl0q1zWySbAmAkw_1_4"/>
      <w:bookmarkStart w:id="1097" w:name="Tc_V2croPfKdUimDVmdfyz1Ig_1_1"/>
      <w:bookmarkStart w:id="1098" w:name="_28648184_f42e_4921_a4d8_c7d0c6c12caf"/>
      <w:bookmarkEnd w:id="1088"/>
      <w:bookmarkEnd w:id="1089"/>
      <w:bookmarkEnd w:id="1090"/>
      <w:bookmarkEnd w:id="1091"/>
      <w:bookmarkEnd w:id="1092"/>
      <w:bookmarkEnd w:id="1093"/>
      <w:bookmarkEnd w:id="1094"/>
      <w:bookmarkEnd w:id="1095"/>
      <w:bookmarkEnd w:id="1096"/>
      <w:bookmarkEnd w:id="1097"/>
      <w:bookmarkEnd w:id="1098"/>
      <w:r>
        <w:rPr>
          <w:rFonts w:ascii="Times New Roman;Times;serif" w:hAnsi="Times New Roman;Times;serif"/>
          <w:sz w:val="20"/>
        </w:rPr>
        <w:t xml:space="preserve">Contract liabilities consist of advance payments and billings in excess of revenue recognized. Advance payments from customers related to work not yet started are classified as deferred revenue. Contract liabilities are not considered to have a significant financing component, as they are used to meet working capital requirements that are generally higher in the early stages of a contract and are intended to protect us from the other party failing to meet its obligations under the contract. Our contract assets and liabilities are reported in a net position on a contract-by-contract basis at the end of each reporting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in the Consolidated Balance Sheets consisted of the following amounts as of September 30, 2026 and December 31, 2025 (in thousands):</w:t>
      </w:r>
    </w:p>
    <w:p>
      <w:pPr>
        <w:pStyle w:val="TextBody"/>
        <w:bidi w:val="0"/>
        <w:spacing w:before="0" w:after="0"/>
        <w:ind w:left="0" w:right="0" w:firstLine="720"/>
        <w:jc w:val="left"/>
        <w:rPr/>
      </w:pPr>
      <w:r>
        <w:rPr/>
        <w:t>​</w:t>
      </w:r>
    </w:p>
    <w:tbl>
      <w:tblPr>
        <w:tblW w:w="9905" w:type="dxa"/>
        <w:jc w:val="left"/>
        <w:tblInd w:w="0" w:type="dxa"/>
        <w:tblLayout w:type="fixed"/>
        <w:tblCellMar>
          <w:top w:w="0" w:type="dxa"/>
          <w:left w:w="0" w:type="dxa"/>
          <w:bottom w:w="0" w:type="dxa"/>
          <w:right w:w="0" w:type="dxa"/>
        </w:tblCellMar>
      </w:tblPr>
      <w:tblGrid>
        <w:gridCol w:w="6706"/>
        <w:gridCol w:w="285"/>
        <w:gridCol w:w="1260"/>
        <w:gridCol w:w="109"/>
        <w:gridCol w:w="259"/>
        <w:gridCol w:w="1286"/>
      </w:tblGrid>
      <w:tr>
        <w:trPr/>
        <w:tc>
          <w:tcPr>
            <w:tcW w:w="670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0975" cy="175895"/>
                      <wp:effectExtent l="0" t="0" r="0" b="0"/>
                      <wp:wrapNone/>
                      <wp:docPr id="100" name="Frame100"/>
                      <a:graphic xmlns:a="http://schemas.openxmlformats.org/drawingml/2006/main">
                        <a:graphicData uri="http://schemas.microsoft.com/office/word/2010/wordprocessingShape">
                          <wps:wsp>
                            <wps:cNvSpPr txBox="1"/>
                            <wps:spPr>
                              <a:xfrm>
                                <a:off x="0" y="0"/>
                                <a:ext cx="180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00100" cy="175895"/>
                      <wp:effectExtent l="0" t="0" r="0" b="0"/>
                      <wp:wrapNone/>
                      <wp:docPr id="101" name="Frame101"/>
                      <a:graphic xmlns:a="http://schemas.openxmlformats.org/drawingml/2006/main">
                        <a:graphicData uri="http://schemas.microsoft.com/office/word/2010/wordprocessingShape">
                          <wps:wsp>
                            <wps:cNvSpPr txBox="1"/>
                            <wps:spPr>
                              <a:xfrm>
                                <a:off x="0" y="0"/>
                                <a:ext cx="800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895"/>
                      <wp:effectExtent l="0" t="0" r="0" b="0"/>
                      <wp:wrapNone/>
                      <wp:docPr id="102" name="Frame10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4465" cy="175895"/>
                      <wp:effectExtent l="0" t="0" r="0" b="0"/>
                      <wp:wrapNone/>
                      <wp:docPr id="103" name="Frame103"/>
                      <a:graphic xmlns:a="http://schemas.openxmlformats.org/drawingml/2006/main">
                        <a:graphicData uri="http://schemas.microsoft.com/office/word/2010/wordprocessingShape">
                          <wps:wsp>
                            <wps:cNvSpPr txBox="1"/>
                            <wps:spPr>
                              <a:xfrm>
                                <a:off x="0" y="0"/>
                                <a:ext cx="1644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16610" cy="175895"/>
                      <wp:effectExtent l="0" t="0" r="0" b="0"/>
                      <wp:wrapNone/>
                      <wp:docPr id="104" name="Frame104"/>
                      <a:graphic xmlns:a="http://schemas.openxmlformats.org/drawingml/2006/main">
                        <a:graphicData uri="http://schemas.microsoft.com/office/word/2010/wordprocessingShape">
                          <wps:wsp>
                            <wps:cNvSpPr txBox="1"/>
                            <wps:spPr>
                              <a:xfrm>
                                <a:off x="0" y="0"/>
                                <a:ext cx="81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1"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before="1"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285" w:type="dxa"/>
            <w:tcBorders/>
            <w:shd w:fill="CCEEFF" w:val="clear"/>
            <w:vAlign w:val="center"/>
          </w:tcPr>
          <w:p>
            <w:pPr>
              <w:pStyle w:val="TableContents"/>
              <w:bidi w:val="0"/>
              <w:spacing w:before="1" w:after="1"/>
              <w:ind w:left="0" w:right="0" w:hanging="0"/>
              <w:jc w:val="left"/>
              <w:rPr/>
            </w:pPr>
            <w:r>
              <w:rPr/>
              <w:t>​</w:t>
            </w:r>
          </w:p>
        </w:tc>
        <w:tc>
          <w:tcPr>
            <w:tcW w:w="1260"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less allowance for credit losses</w:t>
            </w:r>
          </w:p>
        </w:tc>
        <w:tc>
          <w:tcPr>
            <w:tcW w:w="28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159,328</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88,817</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85" w:type="dxa"/>
            <w:tcBorders/>
            <w:shd w:fill="CCEEFF" w:val="clear"/>
            <w:vAlign w:val="center"/>
          </w:tcPr>
          <w:p>
            <w:pPr>
              <w:pStyle w:val="TableContents"/>
              <w:bidi w:val="0"/>
              <w:spacing w:before="1" w:after="1"/>
              <w:ind w:left="0" w:right="0" w:hanging="0"/>
              <w:jc w:val="left"/>
              <w:rPr/>
            </w:pPr>
            <w:r>
              <w:rPr/>
              <w:t>​</w:t>
            </w:r>
          </w:p>
        </w:tc>
        <w:tc>
          <w:tcPr>
            <w:tcW w:w="1260"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28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3,872,012</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2,120,262</w:t>
            </w:r>
          </w:p>
        </w:tc>
      </w:tr>
    </w:tbl>
    <w:p>
      <w:pPr>
        <w:pStyle w:val="TextBody"/>
        <w:bidi w:val="0"/>
        <w:spacing w:before="100" w:after="100"/>
        <w:ind w:left="0" w:right="0" w:firstLine="720"/>
        <w:jc w:val="left"/>
        <w:rPr/>
      </w:pPr>
      <w:r>
        <w:rPr/>
        <w:t>​</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 xml:space="preserve">In the first nine months of 2026 and 2025, we recognized revenue of $1.75 billion and $944.5 million related to our contract liabilities at January 1, 2026 and 2025,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did not have any impairment losses recognized on our receivables or contract assets in the first nine months of 2026 and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Remaining Performance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Remaining construction performance obligations represent the remaining transaction price of firm orders for which work has not been performed and exclude unexercised contract options. As of September 30, 2026, the aggregate amount of the transaction price allocated to remaining performance obligations was $17.81 billion. The Company expects to recognize revenue on approximately 65-75%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total term of one year or less; therefore, we do not report unfulfilled performance obligations for service maintenance agreements.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 Management and Derivative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times, we use derivative instruments to manage exposure to market risk, including interest rate risk. We currently do not have any derivatives that are accounted for as hedges under Accounting Standards Codification (“ASC”) 815.</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classify and disclose assets and liabilities carried at fair value in one of the following three categories:</w:t>
      </w:r>
    </w:p>
    <w:p>
      <w:pPr>
        <w:pStyle w:val="TextBody"/>
        <w:bidi w:val="0"/>
        <w:spacing w:before="0" w:after="0"/>
        <w:ind w:left="0" w:right="0" w:firstLine="720"/>
        <w:jc w:val="left"/>
        <w:rPr/>
      </w:pPr>
      <w:r>
        <w:rPr/>
        <w:t>​</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and liabilities;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market-based inputs or unobservable inputs that are corroborated by market data;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3—significant unobservable inputs in which little or no market data exists, therefore requiring an entity to develop its own assumptions.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99" w:name="Tc_q2mcs0-ENE-Za_RPIp_bNw_7_5"/>
      <w:bookmarkStart w:id="1100" w:name="Tc_LyLQbgSeqUKhE4PiLCQmUA_7_2"/>
      <w:bookmarkStart w:id="1101" w:name="Tc_pngZFEmkNke1HESLcYx1KA_7_0"/>
      <w:bookmarkStart w:id="1102" w:name="Tc_skPWCjiinE-9g3I94Ecpnw_6_0"/>
      <w:bookmarkStart w:id="1103" w:name="Tc_gV67w_hXQ0CAxsfxDjcPYg_5_0"/>
      <w:bookmarkStart w:id="1104" w:name="Tc_pt2g9aiUUESsSnVx-t-BNw_4_0"/>
      <w:bookmarkStart w:id="1105" w:name="Tc_9ao_20l0kk28ZhpJ5-QjYw_3_5"/>
      <w:bookmarkStart w:id="1106" w:name="Tc_A2g_kBJOXUi81o04CGv1tg_3_2"/>
      <w:bookmarkStart w:id="1107" w:name="Tc_TsGwwrwtvUuljY5wjufhGg_3_0"/>
      <w:bookmarkStart w:id="1108" w:name="Tc_VWJQS6aaQEuso8XCCAicbg_2_5"/>
      <w:bookmarkStart w:id="1109" w:name="Tc_tosdB7A230yzWG4cftfsYA_2_2"/>
      <w:bookmarkStart w:id="1110" w:name="Tc_32mz0bZhlEyJydWc0-e1YQ_1_5"/>
      <w:bookmarkStart w:id="1111" w:name="Tc_qT6JwqKbdU6hJGmnQ0_mpw_1_2"/>
      <w:bookmarkStart w:id="1112" w:name="_cc28969e_8dd9_42a7_a7b3_102ed407e71d"/>
      <w:bookmarkStart w:id="1113" w:name="Tc_5G4vzFZRLkOMMUDQUwwXSg_11_11"/>
      <w:bookmarkStart w:id="1114" w:name="Tc_fXsKwx39l0acwoom-YsO3g_11_8"/>
      <w:bookmarkStart w:id="1115" w:name="Tc_j0xrZrjG6U-Ygg7yvZekbQ_11_6"/>
      <w:bookmarkStart w:id="1116" w:name="Tc_56bzAfV8EUaUTn9r7n8WaQ_11_5"/>
      <w:bookmarkStart w:id="1117" w:name="Tc_r3rsXyD0tk63QvwRyd3YNQ_11_3"/>
      <w:bookmarkStart w:id="1118" w:name="Tc_2eyKFieuXk-mEEQLMX1ohA_11_2"/>
      <w:bookmarkStart w:id="1119" w:name="Tc_MLWvOxbRJUGZ2SFcRiD4jw_11_0"/>
      <w:bookmarkStart w:id="1120" w:name="Tc_z3yrLVc32ky0cy5RSAeZLg_10_11"/>
      <w:bookmarkStart w:id="1121" w:name="Tc_ZA-dOKyAb0-7BN-9nRiqlw_10_9"/>
      <w:bookmarkStart w:id="1122" w:name="Tc_SErMVPi4LU6b1TJ30WYjew_10_8"/>
      <w:bookmarkStart w:id="1123" w:name="Tc_mqQ1rH9iBUil1G1Ux7KagQ_10_5"/>
      <w:bookmarkStart w:id="1124" w:name="Tc_5gSh8KewIEuo9ukVq3zwlQ_10_3"/>
      <w:bookmarkStart w:id="1125" w:name="Tc_LOFfErZDakC_AGDLjddCyA_10_2"/>
      <w:bookmarkStart w:id="1126" w:name="Tc_SqbbzH4r1ECD31h0QuI5Yg_10_0"/>
      <w:bookmarkStart w:id="1127" w:name="Tc_7osOncJVJkqvReaJn08-RA_9_11"/>
      <w:bookmarkStart w:id="1128" w:name="Tc_NZKRZZZt-kiuuGGckYdA-Q_9_9"/>
      <w:bookmarkStart w:id="1129" w:name="Tc_APAEo2ChM0aGhEsrBHf_Zg_9_8"/>
      <w:bookmarkStart w:id="1130" w:name="Tc_U6z-ksug5k20QlKlE9dsRQ_9_6"/>
      <w:bookmarkStart w:id="1131" w:name="Tc_yCQ1TwWaQkKgS23ag53TvQ_9_5"/>
      <w:bookmarkStart w:id="1132" w:name="Tc_UcOfxW6m3k2aEvBgYDXllQ_9_2"/>
      <w:bookmarkStart w:id="1133" w:name="Tc_EtJXeJERA0yOwXxtvBc9EA_9_0"/>
      <w:bookmarkStart w:id="1134" w:name="Tc_Kyw6A7QRGkqJ4HXtTv0QzA_8_11"/>
      <w:bookmarkStart w:id="1135" w:name="Tc_9W00MmIzsk-On8DjbYMnwQ_8_8"/>
      <w:bookmarkStart w:id="1136" w:name="Tc_7LkaIB8gt02zRiRCTRPb5A_8_5"/>
      <w:bookmarkStart w:id="1137" w:name="Tc_X-YjPhzmkECKgTCOnFftSw_8_2"/>
      <w:bookmarkStart w:id="1138" w:name="Tc__j2U-3_h_kKupAfGw0fpjA_7_2"/>
      <w:bookmarkStart w:id="1139" w:name="Tc_Nh51y1KAK0-o-VKr7ueKPA_5_11"/>
      <w:bookmarkStart w:id="1140" w:name="Tc_Woo9kNL24kaXdnx0NarnDw_5_8"/>
      <w:bookmarkStart w:id="1141" w:name="Tc_HbmnYUDDaUe-sbV3z5UzPg_5_6"/>
      <w:bookmarkStart w:id="1142" w:name="Tc_5ax1nhiTLkmj3lO6RVkblg_5_5"/>
      <w:bookmarkStart w:id="1143" w:name="Tc_1VvsbQZUpEWDjKETAmKbYw_5_3"/>
      <w:bookmarkStart w:id="1144" w:name="Tc_Xp0mSlEl2Euxk3nUEDvzHw_5_2"/>
      <w:bookmarkStart w:id="1145" w:name="Tc_VwCkEH1BykKeglqwp6Jj_A_5_0"/>
      <w:bookmarkStart w:id="1146" w:name="Tc_VNfQ69i3dUqwC3cll5Q1GA_4_11"/>
      <w:bookmarkStart w:id="1147" w:name="Tc_ua4lvCQ0j0Cs8JDNLzDAtg_4_9"/>
      <w:bookmarkStart w:id="1148" w:name="Tc_vTrdP8U6PkCpBL-h7M9Rpg_4_8"/>
      <w:bookmarkStart w:id="1149" w:name="Tc_qyAYmhbAUE-YBuneHB6y4Q_4_5"/>
      <w:bookmarkStart w:id="1150" w:name="Tc_xwMoBDnUhkWmNNddjhZGSw_4_3"/>
      <w:bookmarkStart w:id="1151" w:name="Tc_Vku_fAgzUkeM0a_t3-wetQ_4_2"/>
      <w:bookmarkStart w:id="1152" w:name="Tc_uEd-Su--q0i2At6IvDUkjA_4_0"/>
      <w:bookmarkStart w:id="1153" w:name="Tc_OYNHUv7yWk6iTJD9S1PCCA_3_11"/>
      <w:bookmarkStart w:id="1154" w:name="Tc_VRo9-kQAxUKWHXtk3U-f4g_3_9"/>
      <w:bookmarkStart w:id="1155" w:name="Tc_r4VKAgMjzUuAF5BCqkxavw_3_8"/>
      <w:bookmarkStart w:id="1156" w:name="Tc_x6lKMXsKzUO2vx8pl_Wnmw_3_6"/>
      <w:bookmarkStart w:id="1157" w:name="Tc_Vgul_yAks0at_tJggcOkqQ_3_5"/>
      <w:bookmarkStart w:id="1158" w:name="Tc_dm7eLtzHz0Gwevgby1tlEw_3_2"/>
      <w:bookmarkStart w:id="1159" w:name="Tc_K-Hn3K0dMUmiA60WVPCFcA_3_0"/>
      <w:bookmarkStart w:id="1160" w:name="Tc_lAHHTPrWKU6WG48JEpkaCw_2_11"/>
      <w:bookmarkStart w:id="1161" w:name="Tc_iQnqIqvFX0-WCVraBHGTZg_2_8"/>
      <w:bookmarkStart w:id="1162" w:name="Tc_2b-Tlu-v7EGRAo1DlrbL_A_2_5"/>
      <w:bookmarkStart w:id="1163" w:name="Tc_wUjO_H-wYkOEj33f5Q6uXQ_2_2"/>
      <w:bookmarkStart w:id="1164" w:name="Tc_kJlPFHojuUCnTAwQMey24g_1_2"/>
      <w:bookmarkStart w:id="1165" w:name="_1b7474af_fc4e_472b_a043_c18a0a52138d"/>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sz w:val="20"/>
        </w:rPr>
        <w:t>The following table summarizes the fair values and levels within the fair value hierarchy in which the fair value measurements are included for assets and liabilities measured on a recurring basis as of September 30, 2026 and December 31, 2025 (in thousands):</w:t>
      </w:r>
    </w:p>
    <w:p>
      <w:pPr>
        <w:pStyle w:val="TextBody"/>
        <w:bidi w:val="0"/>
        <w:spacing w:before="0" w:after="0"/>
        <w:ind w:left="0" w:right="0" w:hanging="0"/>
        <w:jc w:val="left"/>
        <w:rPr/>
      </w:pPr>
      <w:r>
        <w:rPr/>
        <w:t>​</w:t>
      </w:r>
    </w:p>
    <w:tbl>
      <w:tblPr>
        <w:tblW w:w="8233" w:type="dxa"/>
        <w:jc w:val="left"/>
        <w:tblInd w:w="0" w:type="dxa"/>
        <w:tblLayout w:type="fixed"/>
        <w:tblCellMar>
          <w:top w:w="0" w:type="dxa"/>
          <w:left w:w="0" w:type="dxa"/>
          <w:bottom w:w="0" w:type="dxa"/>
          <w:right w:w="0" w:type="dxa"/>
        </w:tblCellMar>
      </w:tblPr>
      <w:tblGrid>
        <w:gridCol w:w="2746"/>
        <w:gridCol w:w="346"/>
        <w:gridCol w:w="211"/>
        <w:gridCol w:w="931"/>
        <w:gridCol w:w="346"/>
        <w:gridCol w:w="211"/>
        <w:gridCol w:w="676"/>
        <w:gridCol w:w="346"/>
        <w:gridCol w:w="211"/>
        <w:gridCol w:w="676"/>
        <w:gridCol w:w="346"/>
        <w:gridCol w:w="211"/>
        <w:gridCol w:w="9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43710" cy="175260"/>
                      <wp:effectExtent l="0" t="0" r="0" b="0"/>
                      <wp:wrapNone/>
                      <wp:docPr id="105" name="Frame10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11" name="Frame1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9760" cy="175260"/>
                      <wp:effectExtent l="0" t="0" r="0" b="0"/>
                      <wp:wrapNone/>
                      <wp:docPr id="117" name="Frame11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30, 2026</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2,158,027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50,757</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34,842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are held at a variety of well</w:t>
        <w:noBreakHyphen/>
        <w:t>known institutions and consist primarily of (i) deposit accounts, (ii) U.S. Treasury bills, and (iii) highly rated money market funds. Cash equivalents described in (ii) and (iii) above have original maturities of three months or less. The original cost of these assets approximates fair value due to their short-term maturity. We believe the carrying value of our debt associated with our revolving credit facility approximates its fair value due to the variable rate on such debt. We believe the carrying values of our notes to former owners approximate their fair values due to the relatively short remaining terms on these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own U.S. Treasury bills with maturities greater than 90 days but less than one year, which we classify as held-to-maturity in accordance with ASC 320 “Investments – Debt Securities,” given that the Company has the ability and intent to hold the investments until maturity. These investments are included within “Prepaid expenses and other” in the Consolidated Balance Sheets. Due to their short-term maturity, the amortized cost of our U.S. Treasury bills approximates their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value contingent earn-out obligations using a probability-weighted discounted cash flow method. This fair value measurement is based on significant unobservable inputs in the market and thus represents a Level 3 measurement within the fair value hierarchy.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payments, length of earn-out periods, manner of calculating any amounts due, etc.) and utilizes assumptions with regard to future cash flows and operating income, probabilities of achieving such future cash flows and operating income, and a weighted-average cost of capital. Significant changes in any of these assumptions could result in a significantly higher or lower potential liability. The contingent earn-out obligations are measured at fair value each reporting period, and changes in estimates of fair value are recognized in earnings.</w:t>
      </w:r>
      <w:r>
        <w:rPr>
          <w:rFonts w:ascii="Times New Roman;Times;serif" w:hAnsi="Times New Roman;Times;serif"/>
          <w:sz w:val="20"/>
          <w:shd w:fill="FFFFFF" w:val="clear"/>
        </w:rPr>
        <w:t> As of September 30, 2026, cash flows were discounted using a weighted-average cost of capital of 18.0%.</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presents a reconciliation of the fair value of our contingent earn-out obligations that use significant unobservable inputs (Level 3) (in thousands):</w:t>
      </w:r>
    </w:p>
    <w:p>
      <w:pPr>
        <w:pStyle w:val="TextBody"/>
        <w:bidi w:val="0"/>
        <w:spacing w:before="0" w:after="0"/>
        <w:ind w:left="0" w:right="0" w:firstLine="720"/>
        <w:jc w:val="left"/>
        <w:rPr/>
      </w:pPr>
      <w:r>
        <w:rPr/>
        <w:t>​</w:t>
      </w:r>
    </w:p>
    <w:tbl>
      <w:tblPr>
        <w:tblW w:w="6438" w:type="dxa"/>
        <w:jc w:val="left"/>
        <w:tblInd w:w="0" w:type="dxa"/>
        <w:tblLayout w:type="fixed"/>
        <w:tblCellMar>
          <w:top w:w="0" w:type="dxa"/>
          <w:left w:w="0" w:type="dxa"/>
          <w:bottom w:w="0" w:type="dxa"/>
          <w:right w:w="0" w:type="dxa"/>
        </w:tblCellMar>
      </w:tblPr>
      <w:tblGrid>
        <w:gridCol w:w="2641"/>
        <w:gridCol w:w="346"/>
        <w:gridCol w:w="327"/>
        <w:gridCol w:w="1233"/>
        <w:gridCol w:w="346"/>
        <w:gridCol w:w="281"/>
        <w:gridCol w:w="1264"/>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77035" cy="175260"/>
                      <wp:effectExtent l="0" t="0" r="0" b="0"/>
                      <wp:wrapNone/>
                      <wp:docPr id="118" name="Frame118"/>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645" cy="175260"/>
                      <wp:effectExtent l="0" t="0" r="0" b="0"/>
                      <wp:wrapNone/>
                      <wp:docPr id="120" name="Frame12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82955" cy="175260"/>
                      <wp:effectExtent l="0" t="0" r="0" b="0"/>
                      <wp:wrapNone/>
                      <wp:docPr id="121" name="Frame121"/>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8435" cy="175260"/>
                      <wp:effectExtent l="0" t="0" r="0" b="0"/>
                      <wp:wrapNone/>
                      <wp:docPr id="123" name="Frame12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02640" cy="175260"/>
                      <wp:effectExtent l="0" t="0" r="0" b="0"/>
                      <wp:wrapNone/>
                      <wp:docPr id="124" name="Frame124"/>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  ​ ​ ​</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  ​ ​ ​</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Issuances</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19,353</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fair value</w:t>
            </w:r>
          </w:p>
        </w:tc>
        <w:tc>
          <w:tcPr>
            <w:tcW w:w="34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50,757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5. Acquisitions</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1, 2026, we acquired all of the issued and outstanding membership interests of Boys Electrical Contractors, LLC (“Boys Electrical”) headquartered in Florida, for a total preliminary purchase price of $63.0 million, which included $52.2 million of cash paid on the closing date, $5.0 million in notes payable to the former owners, an earn-out that will be paid if certain financial targets are met after the acquisition date, and a working capital adjustment.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Boys Electrical operates in Florida and provides electrical design and construction services primarily to the multi-family, healthcare, hospitality, and education sectors. As a result of the acquisition, Boys Electrical is a wholly owned subsidiary of the Company reported in our electrical segment. Additionally, on August 1, 2026, we acquired all of the issued and outstanding membership interests of a modular company in Texas for a total preliminary purchase price of $48.0 million. The modular company designs and manufactures customized building components for the healthcare, hospitality, and housing sectors and is reported in our mechanical segment. The goodwill recognized as a result of both the Boys Electrical and the modular company in Texas acquisitions is deductible for tax purposes.</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2026, we acquired all of the issued and outstanding membership interests of R.C. Hunt Electric, LLC (“Hunt”), headquartered in Utah, for a total preliminary purchase price of $206.0 million, which included $167.2 million of cash paid on the closing date, $15.0 million in notes payable to the former owners, an earn-out that will be paid if certain financial targets are met after the acquisition date, and a working capital adjustment. Hunt operates in the Western United States and provides electrical design and construction services primarily to the industrial, technology, commercial, and infrastructure sectors. As a result of the acquisition, Hunt is a wholly owned subsidiary of the Company reported in our electrical segment. The goodwill recognized as a result of the Hunt acquisition is deductible for tax purposes.</w:t>
      </w:r>
    </w:p>
    <w:p>
      <w:pPr>
        <w:pStyle w:val="TextBody"/>
        <w:shd w:fill="FFFFFF" w:val="clear"/>
        <w:bidi w:val="0"/>
        <w:spacing w:before="100" w:after="10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membership interests of Feyen-Zylstra Holdings, LLC (“Feyen Zylstra”), headquartered in Michigan, for a total purchase price of $110.7 million, which included $99.0 million of cash paid on the closing date, $4.3 million in notes payable to the former owners, an earn-out that will be paid if certain financial targets are met after the acquisition date, and a working capital adjustment. Feyen Zylstra operates in the Midwest and Southern United States and provides electrical design, installation, and maintenance services primarily to the industrial, technology, and healthcare sectors. As a result of the acquisition, Feyen Zylstra is a wholly owned subsidiary of the Company reported in our electrical segment. The goodwill recognized as a result of the Feyen Zylstra acquisition is deductible for tax purposes.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shares of capital stock of Meisner Electric, Inc. (“Meisner”), headquartered in Florida, for a total purchase price of $75.0 million, which included $64.5 million of cash paid on the closing date, $5.0 million in notes payable to the former owners, and a working capital adjustment. Meisner operates in Florida and provides greenfield construction services and electrical design, installation, and renovation services primarily to the healthcare, commercial, and government sectors. As a result of the acquisition, Meisner is a wholly owned subsidiary of the Company reported in our electrical segment. The goodwill recognized as a result of the Meisner acquisition is not deductible for tax purposes.</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31, 2025, we acquired all of the issued and outstanding shares of capital stock of a mechanical service provider in New York for a total purchase price of $2.8 million, which is reported in our mechanical segment. The goodwill recognized as a result of this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2025, we acquired all of the issued and outstanding membership interests of Right Way Plumbing &amp; Mechanical LLC (“Right Way”), headquartered in Florida, for a total purchase price of $65.0 million, which included $49.5 million of cash paid on the closing date, $5.0 million in notes payable to the former owners, an earn-out that will be paid if certain financial targets are met after the acquisition date, and a working capital adjustment. Right Way operates in the Southeastern United States and provides plumbing installation and maintenance services. As a result of the acquisition, Right Way is included in our mechanical segment. The goodwill recognized as a result of the Right Way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1, 2025, we acquired all of the issued and outstanding membership interests of Century Contractors, LLC (“Century”), headquartered in North Carolina, for a total purchase price of $84.2 million, which included $73.1 million of cash paid on the closing date, $5.5 million in notes payable to the former owners, an earn-out that will be paid if certain financial targets are met after the acquisition date, and a working capital adjustment. Century operates in the Southeastern United States and specializes in self-performing mechanical installation, pipe fabrication and installation, steel erection, equipment setting, and concrete installations. As a result of the acquisition, Century is a wholly owned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subsidiary of the Company reported in our mechanical segment. The goodwill recognized as a result of the Century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results of operations of acquisitions are included in our consolidated financial statements from their respective acquisition dates. Our Consolidated Balance Sheets include preliminary allocations of the purchase price to the assets acquired and liabilities assumed for the applicable acquisitions pending the completion of the final valuation of intangible assets and accrued liabilities. The acquisitions completed in the current and prior year, respectively, were not material either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66" w:name="Tc_K9z3EoqRVkq2Y4BtmZSZ7A_8_2"/>
      <w:bookmarkStart w:id="1167" w:name="Tc_PZ1wvGgYnEyGO5docE2Auw_8_0"/>
      <w:bookmarkStart w:id="1168" w:name="Tc_2CmOYef8vk-la5XXyme4Rg_7_0"/>
      <w:bookmarkStart w:id="1169" w:name="Tc_5uChj8pvEkuqg1uymHs_vA_6_0"/>
      <w:bookmarkStart w:id="1170" w:name="Tc_mjEeGoD4iUSydOHA-2TdOw_5_0"/>
      <w:bookmarkStart w:id="1171" w:name="Tc_mD2zaN6pkke5gRrOose7VA_4_0"/>
      <w:bookmarkStart w:id="1172" w:name="Tc_xLCB76w9o0C6gwPlfHuWKQ_3_0"/>
      <w:bookmarkStart w:id="1173" w:name="Tc_tnd-PptZBUCePOpm1rZSPQ_2_2"/>
      <w:bookmarkStart w:id="1174" w:name="Tc_uRsp-hQvi0e84iMgsMYeRA_2_0"/>
      <w:bookmarkStart w:id="1175" w:name="Tc_m51_VXNasEKkCwO65PmQNw_1_0"/>
      <w:bookmarkStart w:id="1176" w:name="_aa58815d_0025_40c8_aaed_e2743c6e7464"/>
      <w:bookmarkStart w:id="1177" w:name="Tc_nHRouF7X2UuPt704r0Zhqw_6_8"/>
      <w:bookmarkStart w:id="1178" w:name="Tc_mwyw-NM6aUOztOBZ-ZwYvw_6_5"/>
      <w:bookmarkStart w:id="1179" w:name="Tc_BSVaR1pWc02SchYeBW-K9A_6_2"/>
      <w:bookmarkStart w:id="1180" w:name="Tc_jBk4Ry22b0yxe9cr-illxw_6_0"/>
      <w:bookmarkStart w:id="1181" w:name="Tc_Gfsw72ERDkKRwFFNJpX4fA_5_0"/>
      <w:bookmarkStart w:id="1182" w:name="Tc_-tRempsMsk-IQDrq-pvsFg_4_0"/>
      <w:bookmarkStart w:id="1183" w:name="Tc_W659UGA_aEawsSYrv4KkAQ_3_0"/>
      <w:bookmarkStart w:id="1184" w:name="Tc_Kevk9x8VtkiLZCAMeWUkyA_2_8"/>
      <w:bookmarkStart w:id="1185" w:name="Tc_IdvCl_y1hkyGI0vpGTK7QA_2_5"/>
      <w:bookmarkStart w:id="1186" w:name="Tc_s3GptXPDjkSa42LMjwynuw_2_2"/>
      <w:bookmarkStart w:id="1187" w:name="Tc_6ziukkV2g06OCUrohjurWA_2_0"/>
      <w:bookmarkStart w:id="1188" w:name="Tc_jn_aH9fVgEOQCwFGvetbkw_1_8"/>
      <w:bookmarkStart w:id="1189" w:name="Tc_l6xXRwq-z0KcJwI6i16hmA_1_5"/>
      <w:bookmarkStart w:id="1190" w:name="Tc_ls3kxK0F1EWqsumoz5eRxA_1_2"/>
      <w:bookmarkStart w:id="1191" w:name="_ff0040db_08ba_4166_a7ee_aba77846658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Pr>
          <w:rFonts w:ascii="Times New Roman;Times;serif" w:hAnsi="Times New Roman;Times;serif"/>
          <w:b/>
          <w:sz w:val="20"/>
        </w:rPr>
        <w:t>6. Goodwill and 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goodwill are as follows (in thousands):</w:t>
      </w:r>
    </w:p>
    <w:p>
      <w:pPr>
        <w:pStyle w:val="TextBody"/>
        <w:bidi w:val="0"/>
        <w:spacing w:before="0" w:after="0"/>
        <w:ind w:left="0" w:right="0" w:firstLine="720"/>
        <w:jc w:val="left"/>
        <w:rPr/>
      </w:pPr>
      <w:r>
        <w:rPr/>
        <w:t>​</w:t>
      </w:r>
    </w:p>
    <w:tbl>
      <w:tblPr>
        <w:tblW w:w="10111" w:type="dxa"/>
        <w:jc w:val="left"/>
        <w:tblInd w:w="0" w:type="dxa"/>
        <w:tblLayout w:type="fixed"/>
        <w:tblCellMar>
          <w:top w:w="0" w:type="dxa"/>
          <w:left w:w="0" w:type="dxa"/>
          <w:bottom w:w="0" w:type="dxa"/>
          <w:right w:w="0" w:type="dxa"/>
        </w:tblCellMar>
      </w:tblPr>
      <w:tblGrid>
        <w:gridCol w:w="4771"/>
        <w:gridCol w:w="346"/>
        <w:gridCol w:w="338"/>
        <w:gridCol w:w="1252"/>
        <w:gridCol w:w="346"/>
        <w:gridCol w:w="309"/>
        <w:gridCol w:w="1146"/>
        <w:gridCol w:w="346"/>
        <w:gridCol w:w="211"/>
        <w:gridCol w:w="104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029585" cy="175260"/>
                      <wp:effectExtent l="0" t="0" r="0" b="0"/>
                      <wp:wrapNone/>
                      <wp:docPr id="125" name="Frame125"/>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4630" cy="175260"/>
                      <wp:effectExtent l="0" t="0" r="0" b="0"/>
                      <wp:wrapNone/>
                      <wp:docPr id="127" name="Frame12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95020" cy="175260"/>
                      <wp:effectExtent l="0" t="0" r="0" b="0"/>
                      <wp:wrapNone/>
                      <wp:docPr id="128" name="Frame128"/>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96215" cy="175260"/>
                      <wp:effectExtent l="0" t="0" r="0" b="0"/>
                      <wp:wrapNone/>
                      <wp:docPr id="130" name="Frame130"/>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27710" cy="175260"/>
                      <wp:effectExtent l="0" t="0" r="0" b="0"/>
                      <wp:wrapNone/>
                      <wp:docPr id="131" name="Frame131"/>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4210" cy="175260"/>
                      <wp:effectExtent l="0" t="0" r="0" b="0"/>
                      <wp:wrapNone/>
                      <wp:docPr id="134" name="Frame13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601,512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875,270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150,245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1,025,515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107,106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124,183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671,486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1,149,698</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2026, future amortization expense of identifiable intangible assets is as follows (in thousands):</w:t>
      </w:r>
    </w:p>
    <w:p>
      <w:pPr>
        <w:pStyle w:val="TextBody"/>
        <w:bidi w:val="0"/>
        <w:spacing w:before="0" w:after="0"/>
        <w:ind w:left="0" w:right="0" w:hanging="0"/>
        <w:jc w:val="left"/>
        <w:rPr/>
      </w:pPr>
      <w:r>
        <w:rPr/>
        <w:t>​</w:t>
      </w:r>
    </w:p>
    <w:tbl>
      <w:tblPr>
        <w:tblW w:w="3884" w:type="dxa"/>
        <w:jc w:val="left"/>
        <w:tblInd w:w="0" w:type="dxa"/>
        <w:tblLayout w:type="fixed"/>
        <w:tblCellMar>
          <w:top w:w="0" w:type="dxa"/>
          <w:left w:w="0" w:type="dxa"/>
          <w:bottom w:w="0" w:type="dxa"/>
          <w:right w:w="0" w:type="dxa"/>
        </w:tblCellMar>
      </w:tblPr>
      <w:tblGrid>
        <w:gridCol w:w="2416"/>
        <w:gridCol w:w="346"/>
        <w:gridCol w:w="226"/>
        <w:gridCol w:w="8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34160" cy="175260"/>
                      <wp:effectExtent l="0" t="0" r="0" b="0"/>
                      <wp:wrapNone/>
                      <wp:docPr id="135" name="Frame13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3510" cy="175260"/>
                      <wp:effectExtent l="0" t="0" r="0" b="0"/>
                      <wp:wrapNone/>
                      <wp:docPr id="137" name="Frame1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8960" cy="175260"/>
                      <wp:effectExtent l="0" t="0" r="0" b="0"/>
                      <wp:wrapNone/>
                      <wp:docPr id="138" name="Frame13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  ​ ​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(remainder of the year)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25,144</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86,539</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73,947</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67,679</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55,145</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239,981</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548,435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2" w:name="Tc_6LakUm6vq0ypDo0aRkNXgA_7_5"/>
      <w:bookmarkStart w:id="1193" w:name="Tc_aSjZV6WzYEK0i_VhnYu-lg_7_2"/>
      <w:bookmarkStart w:id="1194" w:name="Tc_8iLmPjcAM0u1Y5ze9IQuqQ_7_0"/>
      <w:bookmarkStart w:id="1195" w:name="Tc_cOmCp_ny4UONySWA-R1PyQ_6_0"/>
      <w:bookmarkStart w:id="1196" w:name="Tc_KjT753dOrEGLNbshN29cOg_5_0"/>
      <w:bookmarkStart w:id="1197" w:name="Tc_AdsApEiqc0eitBoTxzcmKg_4_0"/>
      <w:bookmarkStart w:id="1198" w:name="Tc_bIw6P2LxnUS0nhDX2x4rsw_3_0"/>
      <w:bookmarkStart w:id="1199" w:name="Tc_gGUXMbLlykaf35vAOZJ9Ug_2_5"/>
      <w:bookmarkStart w:id="1200" w:name="Tc_LEGHKz8sdke1nMNsBTljzw_2_3"/>
      <w:bookmarkStart w:id="1201" w:name="Tc_JWOm31iixEe8y3e8GLkEwg_2_2"/>
      <w:bookmarkStart w:id="1202" w:name="Tc_ZRP9QCe3FUOeyN8Kp2Cwcg_2_0"/>
      <w:bookmarkStart w:id="1203" w:name="Tc_zyVLDpopIkyGFgcxjOW4IA_1_5"/>
      <w:bookmarkStart w:id="1204" w:name="Tc_n9xkfacan0e4SalFS4LO5g_1_2"/>
      <w:bookmarkStart w:id="1205" w:name="_45c0daac_3c47_42f8_a9e0_de14591cbaf9"/>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sz w:val="20"/>
        </w:rPr>
        <w:t>7. Debt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Debt obligations consist of the following (in thousands):</w:t>
      </w:r>
    </w:p>
    <w:p>
      <w:pPr>
        <w:pStyle w:val="TextBody"/>
        <w:bidi w:val="0"/>
        <w:spacing w:before="0" w:after="0"/>
        <w:ind w:left="0" w:right="0" w:hanging="0"/>
        <w:jc w:val="left"/>
        <w:rPr/>
      </w:pPr>
      <w:r>
        <w:rPr/>
        <w:t>​</w:t>
      </w:r>
    </w:p>
    <w:tbl>
      <w:tblPr>
        <w:tblW w:w="6438" w:type="dxa"/>
        <w:jc w:val="left"/>
        <w:tblInd w:w="0" w:type="dxa"/>
        <w:tblLayout w:type="fixed"/>
        <w:tblCellMar>
          <w:top w:w="0" w:type="dxa"/>
          <w:left w:w="0" w:type="dxa"/>
          <w:bottom w:w="0" w:type="dxa"/>
          <w:right w:w="0" w:type="dxa"/>
        </w:tblCellMar>
      </w:tblPr>
      <w:tblGrid>
        <w:gridCol w:w="2656"/>
        <w:gridCol w:w="346"/>
        <w:gridCol w:w="361"/>
        <w:gridCol w:w="1184"/>
        <w:gridCol w:w="346"/>
        <w:gridCol w:w="294"/>
        <w:gridCol w:w="125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86560" cy="175260"/>
                      <wp:effectExtent l="0" t="0" r="0" b="0"/>
                      <wp:wrapNone/>
                      <wp:docPr id="139" name="Frame13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9235" cy="175260"/>
                      <wp:effectExtent l="0" t="0" r="0" b="0"/>
                      <wp:wrapNone/>
                      <wp:docPr id="141" name="Frame1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51840" cy="175260"/>
                      <wp:effectExtent l="0" t="0" r="0" b="0"/>
                      <wp:wrapNone/>
                      <wp:docPr id="142" name="Frame142"/>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6690" cy="175260"/>
                      <wp:effectExtent l="0" t="0" r="0" b="0"/>
                      <wp:wrapNone/>
                      <wp:docPr id="144" name="Frame14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94385" cy="175260"/>
                      <wp:effectExtent l="0" t="0" r="0" b="0"/>
                      <wp:wrapNone/>
                      <wp:docPr id="145" name="Frame145"/>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to former owners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48,950</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 </w:t>
            </w:r>
          </w:p>
        </w:tc>
        <w:tc>
          <w:tcPr>
            <w:tcW w:w="12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49,555</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w:t>
            </w:r>
          </w:p>
        </w:tc>
        <w:tc>
          <w:tcPr>
            <w:tcW w:w="12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(5,710)</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portion of debt</w:t>
            </w:r>
          </w:p>
        </w:tc>
        <w:tc>
          <w:tcPr>
            <w:tcW w:w="346" w:type="dxa"/>
            <w:tcBorders/>
            <w:vAlign w:val="center"/>
          </w:tcPr>
          <w:p>
            <w:pPr>
              <w:pStyle w:val="TableContents"/>
              <w:bidi w:val="0"/>
              <w:spacing w:before="0" w:after="0"/>
              <w:ind w:left="0" w:right="0" w:hanging="0"/>
              <w:jc w:val="left"/>
              <w:rPr/>
            </w:pPr>
            <w:r>
              <w:rPr/>
              <w:t>​</w:t>
            </w:r>
          </w:p>
        </w:tc>
        <w:tc>
          <w:tcPr>
            <w:tcW w:w="3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43,845</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139,063</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206" w:name="Tc_QfD8Qb0cHkysZwO-8UWlmw_5_11"/>
      <w:bookmarkStart w:id="1207" w:name="Tc_GgrQLtbnB0C8qDVqNicF0Q_5_9"/>
      <w:bookmarkStart w:id="1208" w:name="Tc_g0DmFcp0dkWoBYlGscBY5g_5_7"/>
      <w:bookmarkStart w:id="1209" w:name="Tc_-Jlr_3R76Eu3Hj8G0sUgAA_5_5"/>
      <w:bookmarkStart w:id="1210" w:name="Tc_V4dlj3P380G4bBlQ6tc2vw_5_3"/>
      <w:bookmarkStart w:id="1211" w:name="Tc_hwHMd-UUWkaI61DeHLxX-w_5_0"/>
      <w:bookmarkStart w:id="1212" w:name="Tc_5X4zcPqWok2Fvs59fxKPrw_4_11"/>
      <w:bookmarkStart w:id="1213" w:name="Tc_zkNAH5KJ8EGUXGAkLnFwGg_4_9"/>
      <w:bookmarkStart w:id="1214" w:name="Tc_sJdOnaphb0GiJTy-V2MiGQ_4_7"/>
      <w:bookmarkStart w:id="1215" w:name="Tc_KI7PWg2FoU-qRmh23weqJw_4_5"/>
      <w:bookmarkStart w:id="1216" w:name="Tc_TwTzx03sWUaYcWyHh3hOZA_4_3"/>
      <w:bookmarkStart w:id="1217" w:name="Tc_B4BAtqxEWEu3XwzlEnxjHw_4_0"/>
      <w:bookmarkStart w:id="1218" w:name="Tc_iZ-2sX24DEKAtkC-Jexg5g_3_0"/>
      <w:bookmarkStart w:id="1219" w:name="Tc_IrorQ1eG-kK0RFVgBJ208w_2_10"/>
      <w:bookmarkStart w:id="1220" w:name="Tc_6z-IqZg7eE-QDvTQ8L1DUg_2_8"/>
      <w:bookmarkStart w:id="1221" w:name="Tc_Z-nVR60rgkqheAbbGNGXPg_2_6"/>
      <w:bookmarkStart w:id="1222" w:name="Tc_Olnra9gtY0SMaRH0OCKIvw_2_4"/>
      <w:bookmarkStart w:id="1223" w:name="Tc_hhnhDMeaPUOOe3JejePEOQ_2_2"/>
      <w:bookmarkStart w:id="1224" w:name="Tc_ychk6dZvqEWoCljReoXjyQ_1_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b/>
          <w:i/>
          <w:sz w:val="20"/>
        </w:rPr>
        <w:t xml:space="preserve">Revolving Credit Facility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September 30, 2026, we had no outstanding borrowings on the revolving credit facility, $86.0 million in letters of credit outstanding, and $1.01 billion of credit available.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are two interest rate options for borrowings under the Facility, the Base Rate Loan (as defined in the Facility) option and the Secured Overnight Financing Rate (“SOFR”) Loan option. </w:t>
      </w:r>
      <w:r>
        <w:rPr>
          <w:rFonts w:ascii="Times New Roman;Times;serif" w:hAnsi="Times New Roman;Times;serif"/>
          <w:sz w:val="20"/>
          <w:shd w:fill="FFFFFF" w:val="clear"/>
        </w:rPr>
        <w:t>These interest rates are floating rates determined by the broad financial markets, meaning they can and do move up and down from time to time. </w:t>
      </w:r>
      <w:r>
        <w:rPr>
          <w:rFonts w:ascii="Times New Roman;Times;serif" w:hAnsi="Times New Roman;Times;serif"/>
          <w:sz w:val="20"/>
        </w:rPr>
        <w:t>Additional margins are then added to these two interest rates: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782"/>
        <w:gridCol w:w="346"/>
        <w:gridCol w:w="826"/>
        <w:gridCol w:w="346"/>
        <w:gridCol w:w="1300"/>
        <w:gridCol w:w="361"/>
        <w:gridCol w:w="1170"/>
        <w:gridCol w:w="361"/>
        <w:gridCol w:w="1170"/>
        <w:gridCol w:w="271"/>
        <w:gridCol w:w="955"/>
        <w:gridCol w:w="317"/>
      </w:tblGrid>
      <w:tr>
        <w:trPr/>
        <w:tc>
          <w:tcPr>
            <w:tcW w:w="2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66570" cy="175260"/>
                      <wp:effectExtent l="0" t="0" r="0" b="0"/>
                      <wp:wrapNone/>
                      <wp:docPr id="146" name="Frame146"/>
                      <a:graphic xmlns:a="http://schemas.openxmlformats.org/drawingml/2006/main">
                        <a:graphicData uri="http://schemas.microsoft.com/office/word/2010/wordprocessingShape">
                          <wps:wsp>
                            <wps:cNvSpPr txBox="1"/>
                            <wps:spPr>
                              <a:xfrm>
                                <a:off x="0" y="0"/>
                                <a:ext cx="176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4510" cy="175260"/>
                      <wp:effectExtent l="0" t="0" r="0" b="0"/>
                      <wp:wrapNone/>
                      <wp:docPr id="148" name="Frame1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25500" cy="175260"/>
                      <wp:effectExtent l="0" t="0" r="0" b="0"/>
                      <wp:wrapNone/>
                      <wp:docPr id="150" name="Frame150"/>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29235" cy="175260"/>
                      <wp:effectExtent l="0" t="0" r="0" b="0"/>
                      <wp:wrapNone/>
                      <wp:docPr id="151" name="Frame1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42950" cy="175260"/>
                      <wp:effectExtent l="0" t="0" r="0" b="0"/>
                      <wp:wrapNone/>
                      <wp:docPr id="152" name="Frame152"/>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9235" cy="175260"/>
                      <wp:effectExtent l="0" t="0" r="0" b="0"/>
                      <wp:wrapNone/>
                      <wp:docPr id="153" name="Frame1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42950" cy="175260"/>
                      <wp:effectExtent l="0" t="0" r="0" b="0"/>
                      <wp:wrapNone/>
                      <wp:docPr id="154" name="Frame154"/>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2085" cy="175260"/>
                      <wp:effectExtent l="0" t="0" r="0" b="0"/>
                      <wp:wrapNone/>
                      <wp:docPr id="155" name="Frame15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6425" cy="175260"/>
                      <wp:effectExtent l="0" t="0" r="0" b="0"/>
                      <wp:wrapNone/>
                      <wp:docPr id="156" name="Frame156"/>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1295" cy="175260"/>
                      <wp:effectExtent l="0" t="0" r="0" b="0"/>
                      <wp:wrapNone/>
                      <wp:docPr id="157" name="Frame15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Leverage Ratio</w:t>
            </w:r>
          </w:p>
        </w:tc>
        <w:tc>
          <w:tcPr>
            <w:tcW w:w="317" w:type="dxa"/>
            <w:tcBorders/>
            <w:vAlign w:val="center"/>
          </w:tcPr>
          <w:p>
            <w:pPr>
              <w:pStyle w:val="TableContents"/>
              <w:bidi w:val="0"/>
              <w:spacing w:before="0" w:after="0"/>
              <w:ind w:left="0" w:right="0" w:hanging="0"/>
              <w:jc w:val="center"/>
              <w:rPr/>
            </w:pPr>
            <w:r>
              <w:rPr/>
              <w:t>​</w:t>
            </w:r>
          </w:p>
        </w:tc>
      </w:tr>
      <w:tr>
        <w:trPr/>
        <w:tc>
          <w:tcPr>
            <w:tcW w:w="2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w:t>
              <w:br/>
              <w:t>1.00</w:t>
            </w:r>
          </w:p>
        </w:tc>
        <w:tc>
          <w:tcPr>
            <w:tcW w:w="346" w:type="dxa"/>
            <w:tcBorders/>
            <w:vAlign w:val="center"/>
          </w:tcPr>
          <w:p>
            <w:pPr>
              <w:pStyle w:val="TableContents"/>
              <w:bidi w:val="0"/>
              <w:spacing w:before="0" w:after="0"/>
              <w:ind w:left="0" w:right="0" w:hanging="0"/>
              <w:jc w:val="center"/>
              <w:rPr/>
            </w:pPr>
            <w:r>
              <w:rPr/>
              <w:t>  ​ ​ ​</w:t>
            </w:r>
          </w:p>
        </w:tc>
        <w:tc>
          <w:tcPr>
            <w:tcW w:w="13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 to less than 1.75</w:t>
            </w:r>
          </w:p>
        </w:tc>
        <w:tc>
          <w:tcPr>
            <w:tcW w:w="361" w:type="dxa"/>
            <w:tcBorders/>
            <w:vAlign w:val="center"/>
          </w:tcPr>
          <w:p>
            <w:pPr>
              <w:pStyle w:val="TableContents"/>
              <w:bidi w:val="0"/>
              <w:spacing w:before="0" w:after="0"/>
              <w:ind w:left="0" w:right="0" w:hanging="0"/>
              <w:jc w:val="left"/>
              <w:rPr/>
            </w:pPr>
            <w:r>
              <w:rPr/>
              <w:t>  ​ ​ ​</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1.75 to less than 2.50</w:t>
            </w:r>
          </w:p>
        </w:tc>
        <w:tc>
          <w:tcPr>
            <w:tcW w:w="361" w:type="dxa"/>
            <w:tcBorders/>
            <w:vAlign w:val="center"/>
          </w:tcPr>
          <w:p>
            <w:pPr>
              <w:pStyle w:val="TableContents"/>
              <w:bidi w:val="0"/>
              <w:spacing w:before="0" w:after="0"/>
              <w:ind w:left="0" w:right="0" w:hanging="0"/>
              <w:jc w:val="left"/>
              <w:rPr/>
            </w:pPr>
            <w:r>
              <w:rPr/>
              <w:t>  ​ ​ ​</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 to less than 3.00</w:t>
            </w:r>
          </w:p>
        </w:tc>
        <w:tc>
          <w:tcPr>
            <w:tcW w:w="271" w:type="dxa"/>
            <w:tcBorders/>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3.00 or greater</w:t>
            </w:r>
          </w:p>
        </w:tc>
        <w:tc>
          <w:tcPr>
            <w:tcW w:w="317" w:type="dxa"/>
            <w:tcBorders/>
            <w:vAlign w:val="center"/>
          </w:tcPr>
          <w:p>
            <w:pPr>
              <w:pStyle w:val="TableContents"/>
              <w:bidi w:val="0"/>
              <w:spacing w:before="0" w:after="0"/>
              <w:ind w:left="0" w:right="0" w:hanging="0"/>
              <w:jc w:val="left"/>
              <w:rPr/>
            </w:pPr>
            <w:r>
              <w:rPr/>
              <w:t>​</w:t>
            </w:r>
          </w:p>
        </w:tc>
      </w:tr>
      <w:tr>
        <w:trPr/>
        <w:tc>
          <w:tcPr>
            <w:tcW w:w="2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per annum interest margin added under:</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2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rate loan option</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loan option</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outstanding borrowings on the revolving credit facility as of September 30, 2026. The weighted-average interest rate applicable to the borrowings under the revolving credit facility was approximately 5.0% as of December 31,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for certain contracts to guarantee performance and ensure payment to our subcontractors and vendors.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Facility contains financial covenants defining various financial measures and the level of these measures with which we must comply. Covenant compliance is assessed as of each quarter end. We were in compliance with all of our financial covenants as of September 30, 2026.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i/>
          <w:sz w:val="20"/>
        </w:rPr>
      </w:pPr>
      <w:bookmarkStart w:id="1225" w:name="Tc_9C755bGU1EugicX9qcdY5Q_6_2"/>
      <w:bookmarkStart w:id="1226" w:name="Tc_xaZdlzlb50SGkju-4VzeBQ_6_0"/>
      <w:bookmarkStart w:id="1227" w:name="Tc_fGv5e0JUwkqxmmchUUuKdw_5_6"/>
      <w:bookmarkStart w:id="1228" w:name="Tc_RKm_Xz5tvkaurf6-PcFpSA_5_0"/>
      <w:bookmarkStart w:id="1229" w:name="Tc_Tl2lmy5c4EOLOaxBYAVH4Q_4_6"/>
      <w:bookmarkStart w:id="1230" w:name="Tc_xoSOnP2jDEKsnqo1lUlPZg_4_5"/>
      <w:bookmarkStart w:id="1231" w:name="Tc_ovYLRwG-7Euxup1x8FjqKA_4_0"/>
      <w:bookmarkStart w:id="1232" w:name="Tc_5HmzyjxPPEyJNbKqd2Zp3g_3_6"/>
      <w:bookmarkStart w:id="1233" w:name="Tc_XKKYBZWrr0G-nGKzYmSzcA_3_5"/>
      <w:bookmarkStart w:id="1234" w:name="Tc_iCHDgTHAQ02RYic836Zrog_3_2"/>
      <w:bookmarkStart w:id="1235" w:name="Tc_4FjmzvIuiUK9V1yylJ2ZaA_3_0"/>
      <w:bookmarkStart w:id="1236" w:name="Tc_70x_mgSVEUaw-A-kj69uvQ_2_5"/>
      <w:bookmarkStart w:id="1237" w:name="Tc_UCVj0GbmjkmVpkkZudHFMg_2_2"/>
      <w:bookmarkStart w:id="1238" w:name="Tc_IcFsbSpgPEqVZM67OXAIfA_1_5"/>
      <w:bookmarkStart w:id="1239" w:name="Tc_1niT0dk-4kKyUWbVuHZ4tg_1_2"/>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$49.0 million as of September 30, 2026. On September 30, 2026, future principal payments of notes to former owners by maturity year were as follows (dollars in thousands):</w:t>
      </w:r>
    </w:p>
    <w:p>
      <w:pPr>
        <w:pStyle w:val="TextBody"/>
        <w:bidi w:val="0"/>
        <w:spacing w:before="0" w:after="0"/>
        <w:ind w:left="0" w:right="0" w:hanging="0"/>
        <w:jc w:val="left"/>
        <w:rPr/>
      </w:pPr>
      <w:r>
        <w:rPr/>
        <w:t>​</w:t>
      </w:r>
    </w:p>
    <w:tbl>
      <w:tblPr>
        <w:tblW w:w="3876" w:type="dxa"/>
        <w:jc w:val="left"/>
        <w:tblInd w:w="0" w:type="dxa"/>
        <w:tblLayout w:type="fixed"/>
        <w:tblCellMar>
          <w:top w:w="0" w:type="dxa"/>
          <w:left w:w="0" w:type="dxa"/>
          <w:bottom w:w="0" w:type="dxa"/>
          <w:right w:w="0" w:type="dxa"/>
        </w:tblCellMar>
      </w:tblPr>
      <w:tblGrid>
        <w:gridCol w:w="556"/>
        <w:gridCol w:w="346"/>
        <w:gridCol w:w="367"/>
        <w:gridCol w:w="1178"/>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53060" cy="175260"/>
                      <wp:effectExtent l="0" t="0" r="0" b="0"/>
                      <wp:wrapNone/>
                      <wp:docPr id="158" name="Frame15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3045" cy="175260"/>
                      <wp:effectExtent l="0" t="0" r="0" b="0"/>
                      <wp:wrapNone/>
                      <wp:docPr id="160" name="Frame16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48030" cy="175260"/>
                      <wp:effectExtent l="0" t="0" r="0" b="0"/>
                      <wp:wrapNone/>
                      <wp:docPr id="161" name="Frame161"/>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3725" cy="175260"/>
                      <wp:effectExtent l="0" t="0" r="0" b="0"/>
                      <wp:wrapNone/>
                      <wp:docPr id="163" name="Frame16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4475" cy="175260"/>
                      <wp:effectExtent l="0" t="0" r="0" b="0"/>
                      <wp:wrapNone/>
                      <wp:docPr id="164" name="Frame16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4.0 - 4.3</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
        </w:rPr>
      </w:pPr>
      <w:r>
        <w:rPr>
          <w:rFonts w:ascii="Times New Roman;Times;serif" w:hAnsi="Times New Roman;Times;serif"/>
          <w:sz w:val="2"/>
        </w:rPr>
        <w:t>F</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recorded an accrual that is immaterial to our financial statements for unresolved matters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Surety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Current market conditions for surety markets and bonding capacity are adequate, with acceptable terms and conditions. Historically, approximately 10% to 20% of our business has required bonds. While we currently have strong surety relationships to support our bonding needs, future market conditions or changes in the sureties’ assessments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Self-Insurance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are substantially self-insured for workers’ compensation, employer’s liability, auto liability, general liability, and other ancillary coverages, due to the relatively high per-incident deductibles and retained losses that we absorb under our insurance arrangements for these risks. We primarily manage and maintain our insured risks through</w:t>
      </w:r>
      <w:r>
        <w:rPr>
          <w:rFonts w:ascii="Times New Roman;Times;serif" w:hAnsi="Times New Roman;Times;serif"/>
          <w:sz w:val="20"/>
        </w:rPr>
        <w:t xml:space="preserve"> </w:t>
      </w:r>
      <w:r>
        <w:rPr>
          <w:rFonts w:ascii="Times New Roman;Times;serif" w:hAnsi="Times New Roman;Times;serif"/>
          <w:sz w:val="20"/>
          <w:shd w:fill="FFFFFF" w:val="clear"/>
        </w:rPr>
        <w:t xml:space="preserve">our wholly owned captive insurance company. Loss estimates associated with the larger and longer-developing risks,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such as workers’ compensation, auto liability, and general liability, are reviewed and estimated by a third-party actuary quarterly, and we accrue for these exposures based on that analysis.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40" w:name="Tc_Pc2zbbAsr02Lk4sv_PIdLA_9_0"/>
      <w:bookmarkStart w:id="1241" w:name="Tc_R2m7os3yvkKvFs5wBJruiQ_8_0"/>
      <w:bookmarkStart w:id="1242" w:name="Tc_ZdHp2ZbDKEeG1mLLEeU-vA_7_2"/>
      <w:bookmarkStart w:id="1243" w:name="Tc_iv6pz7P3okG_Ehzpv_HeYQ_7_0"/>
      <w:bookmarkStart w:id="1244" w:name="Tc_PReUB6fZAU6a7hGb31punQ_6_0"/>
      <w:bookmarkStart w:id="1245" w:name="Tc_3hrdlvaWfUei1swvWF-Hag_5_0"/>
      <w:bookmarkStart w:id="1246" w:name="Tc_Etnup983t0WUpPl_gNAMCw_4_0"/>
      <w:bookmarkStart w:id="1247" w:name="Tc_R6gbNbH79kSA2P_MVBsQoA_3_8"/>
      <w:bookmarkStart w:id="1248" w:name="Tc_1RjrP-VlIESPzC82dog2Og_3_6"/>
      <w:bookmarkStart w:id="1249" w:name="Tc_I7hzAXOqKU6oZjBUlfwiOQ_3_4"/>
      <w:bookmarkStart w:id="1250" w:name="Tc_6gFwUao4g0edFPkLafbQXA_3_2"/>
      <w:bookmarkStart w:id="1251" w:name="Tc__gHHkpIoT0mlP24K-b7EMA_2_6"/>
      <w:bookmarkStart w:id="1252" w:name="Tc_5U99VK0Wi0KVn10zMQmPUg_2_2"/>
      <w:bookmarkStart w:id="1253" w:name="Tc_MKjSVOtSQ0-EpWaqtnLvyw_1_6"/>
      <w:bookmarkStart w:id="1254" w:name="Tc_Hur16sbXtkiVPPFOlZ-nlA_1_2"/>
      <w:bookmarkStart w:id="1255" w:name="_d2c4d89f_aa4f_407d_9d72_486b948c97c7"/>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r>
        <w:rPr>
          <w:rFonts w:ascii="Times New Roman;Times;serif" w:hAnsi="Times New Roman;Times;serif"/>
          <w:b/>
          <w:sz w:val="20"/>
        </w:rPr>
        <w:t>9. Stockholders’ Equity</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earnings per share (“EPS”) is computed by dividing net income by the weighted-average number of shares of common stock outstanding during the year. Diluted EPS is computed considering the dilutive effect of stock options, restricted stock, restricted stock units, and performance stock units. The vesting of contingently issuable performance stock units is based on the achievement of certain EPS targets and total shareholder return. These shares are considered contingently issuable shares for purposes of calculating diluted EPS. These shares are not included in the diluted EPS denominator until the performance criteria are met, if it is assumed that the end of the reporting period was the end of the contingency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Unvested restricted stock, restricted stock units, and performance stock units are included in diluted weighted-average shares outstanding until the shares and units vest. Upon vesting, the vested restricted stock, restricted stock units, and performance stock units are included in basic weighted-average shares outstanding from the vesting date.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anti-dilutive stock-based awards excluded from the calculation of diluted EPS was less than 0.1 million for the three and nine months ended September 30, 2026 and 2025.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number of shares outstanding with the number of shares used in computing basic and diluted EPS for each of the periods presented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744"/>
        <w:gridCol w:w="109"/>
        <w:gridCol w:w="758"/>
        <w:gridCol w:w="122"/>
        <w:gridCol w:w="758"/>
        <w:gridCol w:w="109"/>
        <w:gridCol w:w="687"/>
        <w:gridCol w:w="110"/>
        <w:gridCol w:w="808"/>
      </w:tblGrid>
      <w:tr>
        <w:trPr/>
        <w:tc>
          <w:tcPr>
            <w:tcW w:w="6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282440" cy="175260"/>
                      <wp:effectExtent l="0" t="0" r="0" b="0"/>
                      <wp:wrapNone/>
                      <wp:docPr id="165" name="Frame165"/>
                      <a:graphic xmlns:a="http://schemas.openxmlformats.org/drawingml/2006/main">
                        <a:graphicData uri="http://schemas.microsoft.com/office/word/2010/wordprocessingShape">
                          <wps:wsp>
                            <wps:cNvSpPr txBox="1"/>
                            <wps:spPr>
                              <a:xfrm>
                                <a:off x="0" y="0"/>
                                <a:ext cx="428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81330" cy="175260"/>
                      <wp:effectExtent l="0" t="0" r="0" b="0"/>
                      <wp:wrapNone/>
                      <wp:docPr id="167" name="Frame167"/>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7470" cy="175260"/>
                      <wp:effectExtent l="0" t="0" r="0" b="0"/>
                      <wp:wrapNone/>
                      <wp:docPr id="168" name="Frame168"/>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81330" cy="175260"/>
                      <wp:effectExtent l="0" t="0" r="0" b="0"/>
                      <wp:wrapNone/>
                      <wp:docPr id="169" name="Frame169"/>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6245" cy="175260"/>
                      <wp:effectExtent l="0" t="0" r="0" b="0"/>
                      <wp:wrapNone/>
                      <wp:docPr id="171" name="Frame171"/>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850" cy="175260"/>
                      <wp:effectExtent l="0" t="0" r="0" b="0"/>
                      <wp:wrapNone/>
                      <wp:docPr id="172" name="Frame172"/>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13080" cy="175260"/>
                      <wp:effectExtent l="0" t="0" r="0" b="0"/>
                      <wp:wrapNone/>
                      <wp:docPr id="173" name="Frame17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60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7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16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67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0" w:type="dxa"/>
            <w:tcBorders/>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outstanding,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34,994</w:t>
            </w:r>
          </w:p>
        </w:tc>
        <w:tc>
          <w:tcPr>
            <w:tcW w:w="122"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35,272</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34,994</w:t>
            </w:r>
          </w:p>
        </w:tc>
        <w:tc>
          <w:tcPr>
            <w:tcW w:w="110"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35,272</w:t>
            </w:r>
          </w:p>
        </w:tc>
      </w:tr>
      <w:tr>
        <w:trPr/>
        <w:tc>
          <w:tcPr>
            <w:tcW w:w="6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using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22" w:type="dxa"/>
            <w:tcBorders/>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10" w:type="dxa"/>
            <w:tcBorders/>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67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share—basic</w:t>
            </w:r>
          </w:p>
        </w:tc>
        <w:tc>
          <w:tcPr>
            <w:tcW w:w="109"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35,116</w:t>
            </w:r>
          </w:p>
        </w:tc>
        <w:tc>
          <w:tcPr>
            <w:tcW w:w="122"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35,307</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35,183</w:t>
            </w:r>
          </w:p>
        </w:tc>
        <w:tc>
          <w:tcPr>
            <w:tcW w:w="110"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35,379</w:t>
            </w:r>
          </w:p>
        </w:tc>
      </w:tr>
      <w:tr>
        <w:trPr/>
        <w:tc>
          <w:tcPr>
            <w:tcW w:w="6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shares issuable under stock option plans based on the treasury-stock method</w:t>
            </w:r>
          </w:p>
        </w:tc>
        <w:tc>
          <w:tcPr>
            <w:tcW w:w="109"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10"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7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restricted and contingently issuable shares</w:t>
            </w:r>
          </w:p>
        </w:tc>
        <w:tc>
          <w:tcPr>
            <w:tcW w:w="109" w:type="dxa"/>
            <w:tcBorders/>
            <w:shd w:fill="CCEEFF" w:val="cle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22" w:type="dxa"/>
            <w:tcBorders/>
            <w:shd w:fill="CCEEFF" w:val="clear"/>
            <w:vAlign w:val="center"/>
          </w:tcPr>
          <w:p>
            <w:pPr>
              <w:pStyle w:val="TableContents"/>
              <w:bidi w:val="0"/>
              <w:spacing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10" w:type="dxa"/>
            <w:tcBorders/>
            <w:shd w:fill="CCEEFF" w:val="cle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share—diluted</w:t>
            </w:r>
          </w:p>
        </w:tc>
        <w:tc>
          <w:tcPr>
            <w:tcW w:w="109" w:type="dxa"/>
            <w:tcBorders/>
            <w:vAlign w:val="center"/>
          </w:tcPr>
          <w:p>
            <w:pPr>
              <w:pStyle w:val="TableContents"/>
              <w:bidi w:val="0"/>
              <w:spacing w:before="0" w:after="0"/>
              <w:ind w:left="0" w:right="0" w:hanging="0"/>
              <w:jc w:val="left"/>
              <w:rPr/>
            </w:pPr>
            <w:r>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35,152</w:t>
            </w:r>
          </w:p>
        </w:tc>
        <w:tc>
          <w:tcPr>
            <w:tcW w:w="122" w:type="dxa"/>
            <w:tcBorders/>
            <w:vAlign w:val="center"/>
          </w:tcPr>
          <w:p>
            <w:pPr>
              <w:pStyle w:val="TableContents"/>
              <w:bidi w:val="0"/>
              <w:spacing w:before="0" w:after="0"/>
              <w:ind w:left="0" w:right="0" w:hanging="0"/>
              <w:jc w:val="left"/>
              <w:rPr/>
            </w:pPr>
            <w:r>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35,365</w:t>
            </w:r>
          </w:p>
        </w:tc>
        <w:tc>
          <w:tcPr>
            <w:tcW w:w="109" w:type="dxa"/>
            <w:tcBorders/>
            <w:vAlign w:val="center"/>
          </w:tcPr>
          <w:p>
            <w:pPr>
              <w:pStyle w:val="TableContents"/>
              <w:bidi w:val="0"/>
              <w:spacing w:before="0" w:after="0"/>
              <w:ind w:left="0" w:right="0" w:hanging="0"/>
              <w:jc w:val="left"/>
              <w:rPr/>
            </w:pPr>
            <w:r>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35,221</w:t>
            </w:r>
          </w:p>
        </w:tc>
        <w:tc>
          <w:tcPr>
            <w:tcW w:w="110" w:type="dxa"/>
            <w:tcBorders/>
            <w:vAlign w:val="center"/>
          </w:tcPr>
          <w:p>
            <w:pPr>
              <w:pStyle w:val="TableContents"/>
              <w:bidi w:val="0"/>
              <w:spacing w:before="0" w:after="0"/>
              <w:ind w:left="0" w:right="0" w:hanging="0"/>
              <w:jc w:val="left"/>
              <w:rPr/>
            </w:pPr>
            <w:r>
              <w:rPr/>
              <w:t>​</w:t>
            </w:r>
          </w:p>
        </w:tc>
        <w:tc>
          <w:tcPr>
            <w:tcW w:w="80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35,445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September 30, 2026, we have repurchased a cumulative total of 11.1 million shares at an average price of $80.67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nine months ended September 30, 2026, we repurchased 0.2 million shares for $349.1 million, inclusive of the applicable excise tax, at an average price of $1,643.85 per share.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56" w:name="Tc_MPZpv0yjlU-ewkOds9WInA_15_11"/>
      <w:bookmarkStart w:id="1257" w:name="Tc_j0sBJyx650SpssXi1jAmqg_15_8"/>
      <w:bookmarkStart w:id="1258" w:name="Tc__qUZXniZh0Sco_c2dM1etA_15_5"/>
      <w:bookmarkStart w:id="1259" w:name="Tc_fE0PX8VPbUuZKxWlyq2ZsA_15_2"/>
      <w:bookmarkStart w:id="1260" w:name="Tc_HbOKDGfSIEi6BoVtahc30Q_15_0"/>
      <w:bookmarkStart w:id="1261" w:name="Tc_QSCfYQH0hEyHCTIN0vu4ow_14_11"/>
      <w:bookmarkStart w:id="1262" w:name="Tc_nYlg6LqJnUWcbr45HzNOgg_14_8"/>
      <w:bookmarkStart w:id="1263" w:name="Tc_DPzOBYYNMUCDoVHwbm6EBw_14_5"/>
      <w:bookmarkStart w:id="1264" w:name="Tc_CYOKGtSSpEOTLmLB5LEcWA_14_2"/>
      <w:bookmarkStart w:id="1265" w:name="Tc_rxxXwimY0UWtFfGg9jLNvQ_14_0"/>
      <w:bookmarkStart w:id="1266" w:name="Tc_ecSjjkmeL0ifnHy4ZGuV8Q_13_11"/>
      <w:bookmarkStart w:id="1267" w:name="Tc_ZqR-zx2CPUuKTz00QibhVQ_13_9"/>
      <w:bookmarkStart w:id="1268" w:name="Tc_j1aGdLzKdkeMI8IYkOuaDA_13_8"/>
      <w:bookmarkStart w:id="1269" w:name="Tc_KIDhKKp3zUyu37MhTpfYSQ_13_5"/>
      <w:bookmarkStart w:id="1270" w:name="Tc_B6y3Oy3tJU6xxX8NIGWebw_13_2"/>
      <w:bookmarkStart w:id="1271" w:name="Tc_27mNH4s3fkKxx_lUgzHVUQ_13_0"/>
      <w:bookmarkStart w:id="1272" w:name="Tc_Bp27y4SkrUSUnQRfHKAJeA_11_11"/>
      <w:bookmarkStart w:id="1273" w:name="Tc_dmu7WMMeqUWGy25AGpvKiQ_11_0"/>
      <w:bookmarkStart w:id="1274" w:name="Tc_Oa_ojm4xu0au31CUe82tuQ_10_0"/>
      <w:bookmarkStart w:id="1275" w:name="Tc_0RIJJGhdOUiA_0KG_uQUzQ_9_0"/>
      <w:bookmarkStart w:id="1276" w:name="Tc_7GuxBuJ1zkmFmps1JRHMWQ_8_11"/>
      <w:bookmarkStart w:id="1277" w:name="Tc_V4kQEEpB-kqW4S_FR7aZ4g_8_8"/>
      <w:bookmarkStart w:id="1278" w:name="Tc_yqYqF4m1OEOntBTR9VQzRg_8_5"/>
      <w:bookmarkStart w:id="1279" w:name="Tc_pZ2Igu-Mn0-7jFIItGNxIQ_8_2"/>
      <w:bookmarkStart w:id="1280" w:name="Tc_swO8JCBis0aJrDJmFgOEqw_8_0"/>
      <w:bookmarkStart w:id="1281" w:name="Tc_mrnnIYEDzEukCf-8UZH4-A_7_9"/>
      <w:bookmarkStart w:id="1282" w:name="Tc_7t18EKyR00is2fHIYfREIg_7_0"/>
      <w:bookmarkStart w:id="1283" w:name="Tc_NJKwQXr2mUuGe7HPmQSmFA_6_0"/>
      <w:bookmarkStart w:id="1284" w:name="Tc_3ejnd2MOyUyO0a_quAQl4w_5_9"/>
      <w:bookmarkStart w:id="1285" w:name="Tc_kBYCdp2UaESQiXNl_ott0Q_5_0"/>
      <w:bookmarkStart w:id="1286" w:name="Tc_AOaHxqdxr0OxHe8Ykcn9ng_4_9"/>
      <w:bookmarkStart w:id="1287" w:name="Tc_ktOqgtQ86U6e0XYitzFW7Q_4_0"/>
      <w:bookmarkStart w:id="1288" w:name="Tc_Q-XRmf3CH0OEbuvoPPZnzA_3_11"/>
      <w:bookmarkStart w:id="1289" w:name="Tc_WmZwXdPl2UK6yasoIYNsuA_3_9"/>
      <w:bookmarkStart w:id="1290" w:name="Tc_EFoWWutL2UyGIgHA1kfUIA_3_8"/>
      <w:bookmarkStart w:id="1291" w:name="Tc_tKOXvsRJG0S0K4s2V6Faqg_3_5"/>
      <w:bookmarkStart w:id="1292" w:name="Tc_M2KywxLVlk-Ww_G4UtGjGA_3_2"/>
      <w:bookmarkStart w:id="1293" w:name="Tc_NLEB6HGDIEC6yr5ERlUSdg_3_0"/>
      <w:bookmarkStart w:id="1294" w:name="Tc_-5e3WAVYRkG6LiqiEWNS7w_2_11"/>
      <w:bookmarkStart w:id="1295" w:name="Tc_Ic17N0oVDESzFlLQBdzpMQ_2_8"/>
      <w:bookmarkStart w:id="1296" w:name="Tc_q4b3YlbLfU6dPlPo5SbkhA_2_5"/>
      <w:bookmarkStart w:id="1297" w:name="Tc_ooYNmHYIr0W4sjVfdvcohA_2_2"/>
      <w:bookmarkStart w:id="1298" w:name="Tc_HCRUMlXPd0yNrderPH4BcQ_1_2"/>
      <w:bookmarkStart w:id="1299" w:name="_8442e8a6_5b8e_4da5_9867_2b8a9d12a205"/>
      <w:bookmarkStart w:id="1300" w:name="Tc_d_1WyrHoh0KNSc6nN1Qr1g_15_11"/>
      <w:bookmarkStart w:id="1301" w:name="Tc_mG4BZjyCWkCIjFspE2E-JQ_15_8"/>
      <w:bookmarkStart w:id="1302" w:name="Tc_MJ6qJ6HcmU-EzP_dYT4nwg_15_5"/>
      <w:bookmarkStart w:id="1303" w:name="Tc_G3e7_q1210yTci_40nCvAg_15_2"/>
      <w:bookmarkStart w:id="1304" w:name="Tc_Cj4pluPHPUSkxUjJlIQX0w_15_0"/>
      <w:bookmarkStart w:id="1305" w:name="Tc_A3HTsxqHDUSYGMs-_zHNBQ_14_11"/>
      <w:bookmarkStart w:id="1306" w:name="Tc_spOKwFFJPkynQaR7xs0svg_14_8"/>
      <w:bookmarkStart w:id="1307" w:name="Tc_bG8GEHSxl0m21vXXzRK6Ag_14_5"/>
      <w:bookmarkStart w:id="1308" w:name="Tc_7KBf99Bwd0q4L0AI_t_EnQ_14_2"/>
      <w:bookmarkStart w:id="1309" w:name="Tc_e0VgDZXUiE267POntR4z0Q_14_0"/>
      <w:bookmarkStart w:id="1310" w:name="Tc_YvspTetVRkiG-VQFPCKfIg_13_11"/>
      <w:bookmarkStart w:id="1311" w:name="Tc_TZvufcDuvkiO3Wb4XGh8WQ_13_9"/>
      <w:bookmarkStart w:id="1312" w:name="Tc_g8Q8N9KUk0Oq7lbC0vj6-Q_13_8"/>
      <w:bookmarkStart w:id="1313" w:name="Tc_LN2-a_AfV0WSjKxC1aGa_Q_13_5"/>
      <w:bookmarkStart w:id="1314" w:name="Tc_u9c3GWdD-UGClLVgsu66GA_13_2"/>
      <w:bookmarkStart w:id="1315" w:name="Tc_brrU3ogI9Uic561YDpnKpw_13_0"/>
      <w:bookmarkStart w:id="1316" w:name="Tc_27FUd0tF_0avOYAeIjtGmg_11_11"/>
      <w:bookmarkStart w:id="1317" w:name="Tc_CrQO3ucnNEqgBrUcSIUNmg_11_0"/>
      <w:bookmarkStart w:id="1318" w:name="Tc_TG8QG8tg2U-ACdk7lZa3Ag_10_0"/>
      <w:bookmarkStart w:id="1319" w:name="Tc_6or_bLNQv0u5sA6ss4sRqA_9_0"/>
      <w:bookmarkStart w:id="1320" w:name="Tc_xroM2WNZ-U2BPISdSUEwwg_8_11"/>
      <w:bookmarkStart w:id="1321" w:name="Tc_goiMavryL0-mblTSqlkjmw_8_8"/>
      <w:bookmarkStart w:id="1322" w:name="Tc_ca1M9sy8MkaGIOpqu_l0Hg_8_5"/>
      <w:bookmarkStart w:id="1323" w:name="Tc_EzsHM5Fbg0CjPF0Po1UF2Q_8_2"/>
      <w:bookmarkStart w:id="1324" w:name="Tc_KeQ5_YkNckGqa8ML-yjkug_8_0"/>
      <w:bookmarkStart w:id="1325" w:name="Tc_-dDaRnrBcUOd_tO-ZEA67w_7_9"/>
      <w:bookmarkStart w:id="1326" w:name="Tc_q9bd6W9Bw0Whh9e2jI-HhQ_7_0"/>
      <w:bookmarkStart w:id="1327" w:name="Tc_CpnYTx5TPU22KYOPgH5nmg_6_0"/>
      <w:bookmarkStart w:id="1328" w:name="Tc_23JI9fk7NkOAr2nResDtfQ_5_9"/>
      <w:bookmarkStart w:id="1329" w:name="Tc_FEjG5anktkWMmw60JTt1-A_5_0"/>
      <w:bookmarkStart w:id="1330" w:name="Tc_EACGpJYu00688PTlis0s1g_4_9"/>
      <w:bookmarkStart w:id="1331" w:name="Tc_giXhOyzw7Ee7NOEugJyFIg_4_0"/>
      <w:bookmarkStart w:id="1332" w:name="Tc_UNg3d4y5c0uRj6L-6lvwtg_3_11"/>
      <w:bookmarkStart w:id="1333" w:name="Tc_MyaiPY9B70a8re79CLxyvA_3_9"/>
      <w:bookmarkStart w:id="1334" w:name="Tc_nGK3l1aRl0mUz_iPQALBJw_3_8"/>
      <w:bookmarkStart w:id="1335" w:name="Tc_gyjVh51cOk-9qT4ykLvG8Q_3_5"/>
      <w:bookmarkStart w:id="1336" w:name="Tc_ByDVUf3UWkOiHZH1eg6hSQ_3_2"/>
      <w:bookmarkStart w:id="1337" w:name="Tc_fUnUmdFO1EyxlLPYZ4P35w_3_0"/>
      <w:bookmarkStart w:id="1338" w:name="Tc_TQVhnaz140WEb4rRkG405w_2_11"/>
      <w:bookmarkStart w:id="1339" w:name="Tc_8HkRVUBxDEOLIXSSwaaYDA_2_8"/>
      <w:bookmarkStart w:id="1340" w:name="Tc_A62Cs3LtvEmqwf9i7YT_Hg_2_5"/>
      <w:bookmarkStart w:id="1341" w:name="Tc_9n0vUKVFLUarNqxjfCqJ4w_2_2"/>
      <w:bookmarkStart w:id="1342" w:name="Tc_mvxcHqTomkej5-k5e0sGCw_1_2"/>
      <w:bookmarkStart w:id="1343" w:name="_9032d02e_28e4_4314_82e6_9513907fcf62"/>
      <w:bookmarkStart w:id="1344" w:name="Tc_6Fj2OqK7rkWplDPSSGx4wA_3_11"/>
      <w:bookmarkStart w:id="1345" w:name="Tc_Rtjdmr3_ck6tkXFwhK-9Ew_3_8"/>
      <w:bookmarkStart w:id="1346" w:name="Tc_aqfgqhU1dUy_8yRxHgVceg_3_5"/>
      <w:bookmarkStart w:id="1347" w:name="Tc_xdvwyGn0DEGJhCMBYGDzyA_3_2"/>
      <w:bookmarkStart w:id="1348" w:name="Tc_S12fjzYLC0esY2szBm8N5w_3_0"/>
      <w:bookmarkStart w:id="1349" w:name="Tc_aXosidJhP06_khkbbJ02Yw_2_11"/>
      <w:bookmarkStart w:id="1350" w:name="Tc_gQqP3gcljUCZ2Jl21a54pQ_2_8"/>
      <w:bookmarkStart w:id="1351" w:name="Tc_KmQ9tyf9EkqapHd1vF3pgQ_2_5"/>
      <w:bookmarkStart w:id="1352" w:name="Tc_RnyQRBWQS0apX07_kcS_Lw_2_2"/>
      <w:bookmarkStart w:id="1353" w:name="Tc_aE7X_7nXD0S5nJMVOTSOYA_2_0"/>
      <w:bookmarkStart w:id="1354" w:name="Tc_hVldbUDsHE2hxJ-OPgPCqQ_1_11"/>
      <w:bookmarkStart w:id="1355" w:name="Tc_X2j_fQr3tEupT459zDk6wA_1_8"/>
      <w:bookmarkStart w:id="1356" w:name="Tc_MwF65gpErU-LEYYfzwmD6g_1_5"/>
      <w:bookmarkStart w:id="1357" w:name="Tc_1Lzt6AlZfkWz1nBDN6jSjA_1_2"/>
      <w:bookmarkStart w:id="1358" w:name="_4ca2c4a9_825c_4189_9efb_0a6a2457848a"/>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Fonts w:ascii="Times New Roman;Times;serif" w:hAnsi="Times New Roman;Times;serif"/>
          <w:b/>
          <w:sz w:val="20"/>
        </w:rPr>
        <w:t xml:space="preserve">10. Segment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Our activities are within the mechanical services industry and the electrical services industry, which represent our </w:t>
      </w:r>
      <w:r>
        <w:rPr>
          <w:rFonts w:ascii="Times New Roman;Times;serif" w:hAnsi="Times New Roman;Times;serif"/>
          <w:sz w:val="20"/>
        </w:rPr>
        <w:t>two</w:t>
      </w:r>
      <w:r>
        <w:rPr>
          <w:rFonts w:ascii="Times New Roman;Times;serif" w:hAnsi="Times New Roman;Times;serif"/>
          <w:sz w:val="20"/>
          <w:shd w:fill="FFFFFF" w:val="clear"/>
        </w:rPr>
        <w:t> reportable segments. We aggregate our operating segments into </w:t>
      </w:r>
      <w:r>
        <w:rPr>
          <w:rFonts w:ascii="Times New Roman;Times;serif" w:hAnsi="Times New Roman;Times;serif"/>
          <w:sz w:val="20"/>
        </w:rPr>
        <w:t>two</w:t>
      </w:r>
      <w:r>
        <w:rPr>
          <w:rFonts w:ascii="Times New Roman;Times;serif" w:hAnsi="Times New Roman;Times;serif"/>
          <w:sz w:val="20"/>
          <w:shd w:fill="FFFFFF" w:val="clear"/>
        </w:rPr>
        <w:t> reportable segments, as the operating segments meet all of the aggregation criteria.</w:t>
      </w:r>
      <w:r>
        <w:rPr>
          <w:rFonts w:ascii="Times New Roman;Times;serif" w:hAnsi="Times New Roman;Times;serif"/>
          <w:sz w:val="20"/>
        </w:rPr>
        <w:t xml:space="preserve"> The following tables present information about our reportable segments (in thousands):</w:t>
      </w:r>
    </w:p>
    <w:p>
      <w:pPr>
        <w:pStyle w:val="TextBody"/>
        <w:bidi w:val="0"/>
        <w:spacing w:before="0" w:after="0"/>
        <w:ind w:left="0" w:right="0" w:hanging="0"/>
        <w:jc w:val="left"/>
        <w:rPr/>
      </w:pPr>
      <w:r>
        <w:rPr/>
        <w:t>​</w:t>
      </w:r>
    </w:p>
    <w:tbl>
      <w:tblPr>
        <w:tblW w:w="9754" w:type="dxa"/>
        <w:jc w:val="left"/>
        <w:tblInd w:w="0" w:type="dxa"/>
        <w:tblLayout w:type="fixed"/>
        <w:tblCellMar>
          <w:top w:w="0" w:type="dxa"/>
          <w:left w:w="0" w:type="dxa"/>
          <w:bottom w:w="0" w:type="dxa"/>
          <w:right w:w="0" w:type="dxa"/>
        </w:tblCellMar>
      </w:tblPr>
      <w:tblGrid>
        <w:gridCol w:w="2926"/>
        <w:gridCol w:w="346"/>
        <w:gridCol w:w="293"/>
        <w:gridCol w:w="1297"/>
        <w:gridCol w:w="346"/>
        <w:gridCol w:w="269"/>
        <w:gridCol w:w="1186"/>
        <w:gridCol w:w="346"/>
        <w:gridCol w:w="211"/>
        <w:gridCol w:w="931"/>
        <w:gridCol w:w="346"/>
        <w:gridCol w:w="211"/>
        <w:gridCol w:w="104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58010" cy="175260"/>
                      <wp:effectExtent l="0" t="0" r="0" b="0"/>
                      <wp:wrapNone/>
                      <wp:docPr id="174" name="Frame17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6055" cy="175260"/>
                      <wp:effectExtent l="0" t="0" r="0" b="0"/>
                      <wp:wrapNone/>
                      <wp:docPr id="176" name="Frame17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23595" cy="175260"/>
                      <wp:effectExtent l="0" t="0" r="0" b="0"/>
                      <wp:wrapNone/>
                      <wp:docPr id="177" name="Frame177"/>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0815" cy="175260"/>
                      <wp:effectExtent l="0" t="0" r="0" b="0"/>
                      <wp:wrapNone/>
                      <wp:docPr id="179" name="Frame17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53110" cy="175260"/>
                      <wp:effectExtent l="0" t="0" r="0" b="0"/>
                      <wp:wrapNone/>
                      <wp:docPr id="180" name="Frame18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91185" cy="175260"/>
                      <wp:effectExtent l="0" t="0" r="0" b="0"/>
                      <wp:wrapNone/>
                      <wp:docPr id="183" name="Frame1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4210" cy="175260"/>
                      <wp:effectExtent l="0" t="0" r="0" b="0"/>
                      <wp:wrapNone/>
                      <wp:docPr id="186" name="Frame18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September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4,918,736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9,805,283</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December 31, 2025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3,683,678</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6,441,169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62"/>
        <w:gridCol w:w="346"/>
        <w:gridCol w:w="284"/>
        <w:gridCol w:w="1261"/>
        <w:gridCol w:w="346"/>
        <w:gridCol w:w="263"/>
        <w:gridCol w:w="1160"/>
        <w:gridCol w:w="346"/>
        <w:gridCol w:w="211"/>
        <w:gridCol w:w="790"/>
        <w:gridCol w:w="346"/>
        <w:gridCol w:w="211"/>
        <w:gridCol w:w="979"/>
      </w:tblGrid>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325370" cy="175260"/>
                      <wp:effectExtent l="0" t="0" r="0" b="0"/>
                      <wp:wrapNone/>
                      <wp:docPr id="187" name="Frame187"/>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0340" cy="175260"/>
                      <wp:effectExtent l="0" t="0" r="0" b="0"/>
                      <wp:wrapNone/>
                      <wp:docPr id="189" name="Frame18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00735" cy="175260"/>
                      <wp:effectExtent l="0" t="0" r="0" b="0"/>
                      <wp:wrapNone/>
                      <wp:docPr id="190" name="Frame19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7005" cy="175260"/>
                      <wp:effectExtent l="0" t="0" r="0" b="0"/>
                      <wp:wrapNone/>
                      <wp:docPr id="192" name="Frame19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36600" cy="175260"/>
                      <wp:effectExtent l="0" t="0" r="0" b="0"/>
                      <wp:wrapNone/>
                      <wp:docPr id="193" name="Frame193"/>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1650" cy="175260"/>
                      <wp:effectExtent l="0" t="0" r="0" b="0"/>
                      <wp:wrapNone/>
                      <wp:docPr id="196" name="Frame19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21665" cy="175260"/>
                      <wp:effectExtent l="0" t="0" r="0" b="0"/>
                      <wp:wrapNone/>
                      <wp:docPr id="199" name="Frame199"/>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2026</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2,582,889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3,766,302</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1,935,615</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2,831,820</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647,274</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934,482</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181,701</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314,165</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469,588</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624,570</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10,486</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635,056</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25,691</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17,885</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21,850</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196,538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210,600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3"/>
        <w:gridCol w:w="346"/>
        <w:gridCol w:w="285"/>
        <w:gridCol w:w="1262"/>
        <w:gridCol w:w="346"/>
        <w:gridCol w:w="299"/>
        <w:gridCol w:w="1111"/>
        <w:gridCol w:w="346"/>
        <w:gridCol w:w="211"/>
        <w:gridCol w:w="790"/>
        <w:gridCol w:w="346"/>
        <w:gridCol w:w="211"/>
        <w:gridCol w:w="979"/>
      </w:tblGrid>
      <w:tr>
        <w:trPr/>
        <w:tc>
          <w:tcPr>
            <w:tcW w:w="3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332355" cy="175260"/>
                      <wp:effectExtent l="0" t="0" r="0" b="0"/>
                      <wp:wrapNone/>
                      <wp:docPr id="200" name="Frame200"/>
                      <a:graphic xmlns:a="http://schemas.openxmlformats.org/drawingml/2006/main">
                        <a:graphicData uri="http://schemas.microsoft.com/office/word/2010/wordprocessingShape">
                          <wps:wsp>
                            <wps:cNvSpPr txBox="1"/>
                            <wps:spPr>
                              <a:xfrm>
                                <a:off x="0" y="0"/>
                                <a:ext cx="2332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0975" cy="175260"/>
                      <wp:effectExtent l="0" t="0" r="0" b="0"/>
                      <wp:wrapNone/>
                      <wp:docPr id="202" name="Frame20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01370" cy="175260"/>
                      <wp:effectExtent l="0" t="0" r="0" b="0"/>
                      <wp:wrapNone/>
                      <wp:docPr id="203" name="Frame203"/>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9865" cy="175260"/>
                      <wp:effectExtent l="0" t="0" r="0" b="0"/>
                      <wp:wrapNone/>
                      <wp:docPr id="205" name="Frame20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05485" cy="175260"/>
                      <wp:effectExtent l="0" t="0" r="0" b="0"/>
                      <wp:wrapNone/>
                      <wp:docPr id="206" name="Frame20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1650" cy="175260"/>
                      <wp:effectExtent l="0" t="0" r="0" b="0"/>
                      <wp:wrapNone/>
                      <wp:docPr id="209" name="Frame20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21665" cy="175260"/>
                      <wp:effectExtent l="0" t="0" r="0" b="0"/>
                      <wp:wrapNone/>
                      <wp:docPr id="212" name="Frame21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1,810,462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2,450,969</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1,370,687</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1,843,098</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439,775</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607,871</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152,442</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229,579</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287,751</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378,874</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370,458</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19,526</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13,048</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16,048</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35,332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59" w:name="Tc_kK4W3NKz7kOIbPXaq5mReA_15_11"/>
      <w:bookmarkStart w:id="1360" w:name="Tc_YHLy69x4kEyAcIgV7RGq4g_15_8"/>
      <w:bookmarkStart w:id="1361" w:name="Tc_Es29RUwPS0e1yV6KM_Hjrw_15_5"/>
      <w:bookmarkStart w:id="1362" w:name="Tc_P73U_a8CZkCFVSaPdAvwIg_15_2"/>
      <w:bookmarkStart w:id="1363" w:name="Tc_NIv18jGLckSTBMF15MNQhQ_15_0"/>
      <w:bookmarkStart w:id="1364" w:name="Tc_r6EVDYfqHUqqdO_CU61D4A_14_11"/>
      <w:bookmarkStart w:id="1365" w:name="Tc_56WRsG0sAUeyMKMVOedS1w_14_8"/>
      <w:bookmarkStart w:id="1366" w:name="Tc_EiNJz-nYy0mSEWo0kCsvoQ_14_5"/>
      <w:bookmarkStart w:id="1367" w:name="Tc_BgJwHxFLYEitsdpmgEJPBQ_14_2"/>
      <w:bookmarkStart w:id="1368" w:name="Tc_ECeylEYqbkiR-0ARCwd1OA_14_0"/>
      <w:bookmarkStart w:id="1369" w:name="Tc_l4kFcDeNZEGqnVOlE6dGGg_13_11"/>
      <w:bookmarkStart w:id="1370" w:name="Tc_gmi-lE5zpEWsBPHcF4xrSg_13_9"/>
      <w:bookmarkStart w:id="1371" w:name="Tc_k5vaLfQPb0St4XuQyvZsyA_13_8"/>
      <w:bookmarkStart w:id="1372" w:name="Tc_63Yo2d4FsEi2G44vf5ffLg_13_5"/>
      <w:bookmarkStart w:id="1373" w:name="Tc_vSNrDdXUD0aGnQ9bulZoMQ_13_2"/>
      <w:bookmarkStart w:id="1374" w:name="Tc_mMW4up7u6UaBP2PAU_z7hQ_13_0"/>
      <w:bookmarkStart w:id="1375" w:name="Tc_pdRKGJa2M0K9DO0hKRrJ3Q_11_11"/>
      <w:bookmarkStart w:id="1376" w:name="Tc_O2WQ4ttFkkWaSjhMx3Q2mg_11_0"/>
      <w:bookmarkStart w:id="1377" w:name="Tc_OqRlEvs6hkeiKgaXksRLrA_10_0"/>
      <w:bookmarkStart w:id="1378" w:name="Tc_JdXRzEV9G0G8fKJC1kfGrQ_9_0"/>
      <w:bookmarkStart w:id="1379" w:name="Tc_iFh72sV1fkmcFlrweoGhtQ_8_11"/>
      <w:bookmarkStart w:id="1380" w:name="Tc_V8lCFi5I2USZezU7zuQVmw_8_8"/>
      <w:bookmarkStart w:id="1381" w:name="Tc_cn2Jj3mka0eoAYU5bNnybg_8_5"/>
      <w:bookmarkStart w:id="1382" w:name="Tc_s1Aqi5OgLk6LIWlb_4J3_g_8_2"/>
      <w:bookmarkStart w:id="1383" w:name="Tc_hA_xY7XD3UC5n75ZSai92Q_8_0"/>
      <w:bookmarkStart w:id="1384" w:name="Tc_wV1e5_7q5EiyfvlrfvWllA_7_9"/>
      <w:bookmarkStart w:id="1385" w:name="Tc_35-Rmv4TJUi00vN6LV8KXQ_7_0"/>
      <w:bookmarkStart w:id="1386" w:name="Tc_s-YDOnEq2k6RFMJkjVI1-A_6_0"/>
      <w:bookmarkStart w:id="1387" w:name="Tc_ZKlYLqWRq0KJCAtI3LGA3Q_5_9"/>
      <w:bookmarkStart w:id="1388" w:name="Tc_GZ2EAqCz5E2qTq8gxwxnAw_5_0"/>
      <w:bookmarkStart w:id="1389" w:name="Tc_2jvfYCirmEGzrldqBR-CJw_4_9"/>
      <w:bookmarkStart w:id="1390" w:name="Tc_2qhFHZbMzUaMfqkSLbQtZw_4_0"/>
      <w:bookmarkStart w:id="1391" w:name="Tc_DkqDNhVZ70ePh570l2ZR8A_3_11"/>
      <w:bookmarkStart w:id="1392" w:name="Tc_ocHSC5k810W1hnuZCyqBxQ_3_9"/>
      <w:bookmarkStart w:id="1393" w:name="Tc_yGFHRrnPs0GgmgLBSFtCRg_3_8"/>
      <w:bookmarkStart w:id="1394" w:name="Tc_uCqhP9SXn0uxsNzAydlVxQ_3_5"/>
      <w:bookmarkStart w:id="1395" w:name="Tc_oGjiHMUlz0KEBFA-tPvcIw_3_2"/>
      <w:bookmarkStart w:id="1396" w:name="Tc_qz3D_f7bHUyMf4TLo1nHoQ_3_0"/>
      <w:bookmarkStart w:id="1397" w:name="Tc_sCtIe9oj5UmswgVOh_GVSw_2_11"/>
      <w:bookmarkStart w:id="1398" w:name="Tc_KDxAnresdE2ueVegAR-R1g_2_8"/>
      <w:bookmarkStart w:id="1399" w:name="Tc_jkzFPHafhEOzcjzVj-2Ktw_2_5"/>
      <w:bookmarkStart w:id="1400" w:name="Tc_Q1jokoNfwE-4FDyd7iX9Pg_2_2"/>
      <w:bookmarkStart w:id="1401" w:name="Tc_LQ5ijGzWeUmZmklerrpG7w_1_2"/>
      <w:bookmarkStart w:id="1402" w:name="_227737c4_7997_4eeb_843d_b5bebcdf92d8"/>
      <w:bookmarkStart w:id="1403" w:name="Tc_9u9I6L5ArkuJaZlGMiC2Zg_15_11"/>
      <w:bookmarkStart w:id="1404" w:name="Tc_E78WKTzWFUiNNpTRaI4lVQ_15_8"/>
      <w:bookmarkStart w:id="1405" w:name="Tc_abhbxskY3Uy00ymctStfHw_15_5"/>
      <w:bookmarkStart w:id="1406" w:name="Tc_G9nKKQgUv0aOoOt9vmcL-w_15_2"/>
      <w:bookmarkStart w:id="1407" w:name="Tc_VibaI16hw0-PQ_X70F7tzA_15_0"/>
      <w:bookmarkStart w:id="1408" w:name="Tc_Y4FEAFXMgkavVJydrpxfxw_14_11"/>
      <w:bookmarkStart w:id="1409" w:name="Tc_S0FgEmwwP0CCkhBOZ9Q_Sg_14_8"/>
      <w:bookmarkStart w:id="1410" w:name="Tc_alFSYhRAiUiBMWwC2-g42w_14_5"/>
      <w:bookmarkStart w:id="1411" w:name="Tc_5C4a31NbnEeu-5exkPBv3w_14_2"/>
      <w:bookmarkStart w:id="1412" w:name="Tc_lyqxJddKpkS1uCrycIP1GA_14_0"/>
      <w:bookmarkStart w:id="1413" w:name="Tc_GAZ4vymH1UysAbjcrIXX9Q_13_11"/>
      <w:bookmarkStart w:id="1414" w:name="Tc_v1wAA25wqkW5r4xbtxQGYg_13_9"/>
      <w:bookmarkStart w:id="1415" w:name="Tc_aKPaRp5NV0yunYZN2ob7Qg_13_8"/>
      <w:bookmarkStart w:id="1416" w:name="Tc_uQr4ZPR5Uk-Ba93JudVjdQ_13_5"/>
      <w:bookmarkStart w:id="1417" w:name="Tc_8Z5d3YuOXEyCVgG2GmXsyw_13_2"/>
      <w:bookmarkStart w:id="1418" w:name="Tc_dpAykIhJcESrxqfFTkQBRA_13_0"/>
      <w:bookmarkStart w:id="1419" w:name="Tc_9lpOWny1TEqD1e22ek6iQQ_11_11"/>
      <w:bookmarkStart w:id="1420" w:name="Tc_Aj5bvAMHaUG9SeiyG2slIw_11_0"/>
      <w:bookmarkStart w:id="1421" w:name="Tc_FPnlR8Lqe02RBxdS3VkHWw_10_0"/>
      <w:bookmarkStart w:id="1422" w:name="Tc_CGii-QrpI0-MpeSRG7-puA_9_0"/>
      <w:bookmarkStart w:id="1423" w:name="Tc_E6S-o2yTTUaPtYdsJ6ROAw_8_11"/>
      <w:bookmarkStart w:id="1424" w:name="Tc_x05TYyHa0U6W_faUvr1P8g_8_8"/>
      <w:bookmarkStart w:id="1425" w:name="Tc_LweTIoD7cUiMmTD9DPnSow_8_5"/>
      <w:bookmarkStart w:id="1426" w:name="Tc_osqlJFpySEasXyxZtKiY9g_8_2"/>
      <w:bookmarkStart w:id="1427" w:name="Tc_wG5-wCEfj02ADh60fD6kzA_8_0"/>
      <w:bookmarkStart w:id="1428" w:name="Tc_OkpPq4MrvUOk5NkjpWVVAw_7_9"/>
      <w:bookmarkStart w:id="1429" w:name="Tc_1W_UYUmy3Em93vuw6GLbNg_7_0"/>
      <w:bookmarkStart w:id="1430" w:name="Tc_eWLu7Dlg7UaGa48gBxpZ7Q_6_0"/>
      <w:bookmarkStart w:id="1431" w:name="Tc_Cd1VZIfPIEugyVWKEeepVQ_5_9"/>
      <w:bookmarkStart w:id="1432" w:name="Tc_xGtOpLOtbk2ATDvbnzTJEg_5_0"/>
      <w:bookmarkStart w:id="1433" w:name="Tc_wDRw86LUiU2ookRjg6mgLA_4_9"/>
      <w:bookmarkStart w:id="1434" w:name="Tc_fUQwK9n4EUOt9I1fd4o2iw_4_0"/>
      <w:bookmarkStart w:id="1435" w:name="Tc_moNmYevNUU2T8jIkRJEuJg_3_11"/>
      <w:bookmarkStart w:id="1436" w:name="Tc_ii1jVrOk-kugLpOYCI-6Og_3_9"/>
      <w:bookmarkStart w:id="1437" w:name="Tc_y3ezu4Leg0ScqJb9t7JX-w_3_8"/>
      <w:bookmarkStart w:id="1438" w:name="Tc_zLXfMfO9eUO54fRv15w8QA_3_5"/>
      <w:bookmarkStart w:id="1439" w:name="Tc_YIArDjKGAUa5R1dZf0CAkg_3_2"/>
      <w:bookmarkStart w:id="1440" w:name="Tc_i5TAO9sqxUCziQ3bHnKr-A_3_0"/>
      <w:bookmarkStart w:id="1441" w:name="Tc_LtLA9UFFeEWCzn5eECiovg_2_11"/>
      <w:bookmarkStart w:id="1442" w:name="Tc_Hl3XZgAtu0qO30yOJKX_LQ_2_8"/>
      <w:bookmarkStart w:id="1443" w:name="Tc_bxelBsrbqE22PnmPbZZVnw_2_5"/>
      <w:bookmarkStart w:id="1444" w:name="Tc_O8PeJB8GgUyz2p7aNhrvlw_2_2"/>
      <w:bookmarkStart w:id="1445" w:name="Tc_mkWiO7xIm0abUt4KW4PliQ_1_2"/>
      <w:bookmarkStart w:id="1446" w:name="_8c6fed50_7b11_4af0_9992_5f2f9deb3b22"/>
      <w:bookmarkStart w:id="1447" w:name="Tc_kK4W3NKz7kOIbPXaq5mReA_15_11"/>
      <w:bookmarkStart w:id="1448" w:name="Tc_YHLy69x4kEyAcIgV7RGq4g_15_8"/>
      <w:bookmarkStart w:id="1449" w:name="Tc_Es29RUwPS0e1yV6KM_Hjrw_15_5"/>
      <w:bookmarkStart w:id="1450" w:name="Tc_P73U_a8CZkCFVSaPdAvwIg_15_2"/>
      <w:bookmarkStart w:id="1451" w:name="Tc_NIv18jGLckSTBMF15MNQhQ_15_0"/>
      <w:bookmarkStart w:id="1452" w:name="Tc_r6EVDYfqHUqqdO_CU61D4A_14_11"/>
      <w:bookmarkStart w:id="1453" w:name="Tc_56WRsG0sAUeyMKMVOedS1w_14_8"/>
      <w:bookmarkStart w:id="1454" w:name="Tc_EiNJz-nYy0mSEWo0kCsvoQ_14_5"/>
      <w:bookmarkStart w:id="1455" w:name="Tc_BgJwHxFLYEitsdpmgEJPBQ_14_2"/>
      <w:bookmarkStart w:id="1456" w:name="Tc_ECeylEYqbkiR-0ARCwd1OA_14_0"/>
      <w:bookmarkStart w:id="1457" w:name="Tc_l4kFcDeNZEGqnVOlE6dGGg_13_11"/>
      <w:bookmarkStart w:id="1458" w:name="Tc_gmi-lE5zpEWsBPHcF4xrSg_13_9"/>
      <w:bookmarkStart w:id="1459" w:name="Tc_k5vaLfQPb0St4XuQyvZsyA_13_8"/>
      <w:bookmarkStart w:id="1460" w:name="Tc_63Yo2d4FsEi2G44vf5ffLg_13_5"/>
      <w:bookmarkStart w:id="1461" w:name="Tc_vSNrDdXUD0aGnQ9bulZoMQ_13_2"/>
      <w:bookmarkStart w:id="1462" w:name="Tc_mMW4up7u6UaBP2PAU_z7hQ_13_0"/>
      <w:bookmarkStart w:id="1463" w:name="Tc_pdRKGJa2M0K9DO0hKRrJ3Q_11_11"/>
      <w:bookmarkStart w:id="1464" w:name="Tc_O2WQ4ttFkkWaSjhMx3Q2mg_11_0"/>
      <w:bookmarkStart w:id="1465" w:name="Tc_OqRlEvs6hkeiKgaXksRLrA_10_0"/>
      <w:bookmarkStart w:id="1466" w:name="Tc_JdXRzEV9G0G8fKJC1kfGrQ_9_0"/>
      <w:bookmarkStart w:id="1467" w:name="Tc_iFh72sV1fkmcFlrweoGhtQ_8_11"/>
      <w:bookmarkStart w:id="1468" w:name="Tc_V8lCFi5I2USZezU7zuQVmw_8_8"/>
      <w:bookmarkStart w:id="1469" w:name="Tc_cn2Jj3mka0eoAYU5bNnybg_8_5"/>
      <w:bookmarkStart w:id="1470" w:name="Tc_s1Aqi5OgLk6LIWlb_4J3_g_8_2"/>
      <w:bookmarkStart w:id="1471" w:name="Tc_hA_xY7XD3UC5n75ZSai92Q_8_0"/>
      <w:bookmarkStart w:id="1472" w:name="Tc_wV1e5_7q5EiyfvlrfvWllA_7_9"/>
      <w:bookmarkStart w:id="1473" w:name="Tc_35-Rmv4TJUi00vN6LV8KXQ_7_0"/>
      <w:bookmarkStart w:id="1474" w:name="Tc_s-YDOnEq2k6RFMJkjVI1-A_6_0"/>
      <w:bookmarkStart w:id="1475" w:name="Tc_ZKlYLqWRq0KJCAtI3LGA3Q_5_9"/>
      <w:bookmarkStart w:id="1476" w:name="Tc_GZ2EAqCz5E2qTq8gxwxnAw_5_0"/>
      <w:bookmarkStart w:id="1477" w:name="Tc_2jvfYCirmEGzrldqBR-CJw_4_9"/>
      <w:bookmarkStart w:id="1478" w:name="Tc_2qhFHZbMzUaMfqkSLbQtZw_4_0"/>
      <w:bookmarkStart w:id="1479" w:name="Tc_DkqDNhVZ70ePh570l2ZR8A_3_11"/>
      <w:bookmarkStart w:id="1480" w:name="Tc_ocHSC5k810W1hnuZCyqBxQ_3_9"/>
      <w:bookmarkStart w:id="1481" w:name="Tc_yGFHRrnPs0GgmgLBSFtCRg_3_8"/>
      <w:bookmarkStart w:id="1482" w:name="Tc_uCqhP9SXn0uxsNzAydlVxQ_3_5"/>
      <w:bookmarkStart w:id="1483" w:name="Tc_oGjiHMUlz0KEBFA-tPvcIw_3_2"/>
      <w:bookmarkStart w:id="1484" w:name="Tc_qz3D_f7bHUyMf4TLo1nHoQ_3_0"/>
      <w:bookmarkStart w:id="1485" w:name="Tc_sCtIe9oj5UmswgVOh_GVSw_2_11"/>
      <w:bookmarkStart w:id="1486" w:name="Tc_KDxAnresdE2ueVegAR-R1g_2_8"/>
      <w:bookmarkStart w:id="1487" w:name="Tc_jkzFPHafhEOzcjzVj-2Ktw_2_5"/>
      <w:bookmarkStart w:id="1488" w:name="Tc_Q1jokoNfwE-4FDyd7iX9Pg_2_2"/>
      <w:bookmarkStart w:id="1489" w:name="Tc_LQ5ijGzWeUmZmklerrpG7w_1_2"/>
      <w:bookmarkStart w:id="1490" w:name="_227737c4_7997_4eeb_843d_b5bebcdf92d8"/>
      <w:bookmarkStart w:id="1491" w:name="Tc_9u9I6L5ArkuJaZlGMiC2Zg_15_11"/>
      <w:bookmarkStart w:id="1492" w:name="Tc_E78WKTzWFUiNNpTRaI4lVQ_15_8"/>
      <w:bookmarkStart w:id="1493" w:name="Tc_abhbxskY3Uy00ymctStfHw_15_5"/>
      <w:bookmarkStart w:id="1494" w:name="Tc_G9nKKQgUv0aOoOt9vmcL-w_15_2"/>
      <w:bookmarkStart w:id="1495" w:name="Tc_VibaI16hw0-PQ_X70F7tzA_15_0"/>
      <w:bookmarkStart w:id="1496" w:name="Tc_Y4FEAFXMgkavVJydrpxfxw_14_11"/>
      <w:bookmarkStart w:id="1497" w:name="Tc_S0FgEmwwP0CCkhBOZ9Q_Sg_14_8"/>
      <w:bookmarkStart w:id="1498" w:name="Tc_alFSYhRAiUiBMWwC2-g42w_14_5"/>
      <w:bookmarkStart w:id="1499" w:name="Tc_5C4a31NbnEeu-5exkPBv3w_14_2"/>
      <w:bookmarkStart w:id="1500" w:name="Tc_lyqxJddKpkS1uCrycIP1GA_14_0"/>
      <w:bookmarkStart w:id="1501" w:name="Tc_GAZ4vymH1UysAbjcrIXX9Q_13_11"/>
      <w:bookmarkStart w:id="1502" w:name="Tc_v1wAA25wqkW5r4xbtxQGYg_13_9"/>
      <w:bookmarkStart w:id="1503" w:name="Tc_aKPaRp5NV0yunYZN2ob7Qg_13_8"/>
      <w:bookmarkStart w:id="1504" w:name="Tc_uQr4ZPR5Uk-Ba93JudVjdQ_13_5"/>
      <w:bookmarkStart w:id="1505" w:name="Tc_8Z5d3YuOXEyCVgG2GmXsyw_13_2"/>
      <w:bookmarkStart w:id="1506" w:name="Tc_dpAykIhJcESrxqfFTkQBRA_13_0"/>
      <w:bookmarkStart w:id="1507" w:name="Tc_9lpOWny1TEqD1e22ek6iQQ_11_11"/>
      <w:bookmarkStart w:id="1508" w:name="Tc_Aj5bvAMHaUG9SeiyG2slIw_11_0"/>
      <w:bookmarkStart w:id="1509" w:name="Tc_FPnlR8Lqe02RBxdS3VkHWw_10_0"/>
      <w:bookmarkStart w:id="1510" w:name="Tc_CGii-QrpI0-MpeSRG7-puA_9_0"/>
      <w:bookmarkStart w:id="1511" w:name="Tc_E6S-o2yTTUaPtYdsJ6ROAw_8_11"/>
      <w:bookmarkStart w:id="1512" w:name="Tc_x05TYyHa0U6W_faUvr1P8g_8_8"/>
      <w:bookmarkStart w:id="1513" w:name="Tc_LweTIoD7cUiMmTD9DPnSow_8_5"/>
      <w:bookmarkStart w:id="1514" w:name="Tc_osqlJFpySEasXyxZtKiY9g_8_2"/>
      <w:bookmarkStart w:id="1515" w:name="Tc_wG5-wCEfj02ADh60fD6kzA_8_0"/>
      <w:bookmarkStart w:id="1516" w:name="Tc_OkpPq4MrvUOk5NkjpWVVAw_7_9"/>
      <w:bookmarkStart w:id="1517" w:name="Tc_1W_UYUmy3Em93vuw6GLbNg_7_0"/>
      <w:bookmarkStart w:id="1518" w:name="Tc_eWLu7Dlg7UaGa48gBxpZ7Q_6_0"/>
      <w:bookmarkStart w:id="1519" w:name="Tc_Cd1VZIfPIEugyVWKEeepVQ_5_9"/>
      <w:bookmarkStart w:id="1520" w:name="Tc_xGtOpLOtbk2ATDvbnzTJEg_5_0"/>
      <w:bookmarkStart w:id="1521" w:name="Tc_wDRw86LUiU2ookRjg6mgLA_4_9"/>
      <w:bookmarkStart w:id="1522" w:name="Tc_fUQwK9n4EUOt9I1fd4o2iw_4_0"/>
      <w:bookmarkStart w:id="1523" w:name="Tc_moNmYevNUU2T8jIkRJEuJg_3_11"/>
      <w:bookmarkStart w:id="1524" w:name="Tc_ii1jVrOk-kugLpOYCI-6Og_3_9"/>
      <w:bookmarkStart w:id="1525" w:name="Tc_y3ezu4Leg0ScqJb9t7JX-w_3_8"/>
      <w:bookmarkStart w:id="1526" w:name="Tc_zLXfMfO9eUO54fRv15w8QA_3_5"/>
      <w:bookmarkStart w:id="1527" w:name="Tc_YIArDjKGAUa5R1dZf0CAkg_3_2"/>
      <w:bookmarkStart w:id="1528" w:name="Tc_i5TAO9sqxUCziQ3bHnKr-A_3_0"/>
      <w:bookmarkStart w:id="1529" w:name="Tc_LtLA9UFFeEWCzn5eECiovg_2_11"/>
      <w:bookmarkStart w:id="1530" w:name="Tc_Hl3XZgAtu0qO30yOJKX_LQ_2_8"/>
      <w:bookmarkStart w:id="1531" w:name="Tc_bxelBsrbqE22PnmPbZZVnw_2_5"/>
      <w:bookmarkStart w:id="1532" w:name="Tc_O8PeJB8GgUyz2p7aNhrvlw_2_2"/>
      <w:bookmarkStart w:id="1533" w:name="Tc_mkWiO7xIm0abUt4KW4PliQ_1_2"/>
      <w:bookmarkStart w:id="1534" w:name="_8c6fed50_7b11_4af0_9992_5f2f9deb3b22"/>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p>
    <w:tbl>
      <w:tblPr>
        <w:tblW w:w="10205" w:type="dxa"/>
        <w:jc w:val="left"/>
        <w:tblInd w:w="0" w:type="dxa"/>
        <w:tblLayout w:type="fixed"/>
        <w:tblCellMar>
          <w:top w:w="0" w:type="dxa"/>
          <w:left w:w="0" w:type="dxa"/>
          <w:bottom w:w="0" w:type="dxa"/>
          <w:right w:w="0" w:type="dxa"/>
        </w:tblCellMar>
      </w:tblPr>
      <w:tblGrid>
        <w:gridCol w:w="3662"/>
        <w:gridCol w:w="346"/>
        <w:gridCol w:w="284"/>
        <w:gridCol w:w="1261"/>
        <w:gridCol w:w="346"/>
        <w:gridCol w:w="263"/>
        <w:gridCol w:w="1160"/>
        <w:gridCol w:w="346"/>
        <w:gridCol w:w="211"/>
        <w:gridCol w:w="790"/>
        <w:gridCol w:w="346"/>
        <w:gridCol w:w="211"/>
        <w:gridCol w:w="979"/>
      </w:tblGrid>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325370" cy="175260"/>
                      <wp:effectExtent l="0" t="0" r="0" b="0"/>
                      <wp:wrapNone/>
                      <wp:docPr id="213" name="Frame213"/>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0340" cy="175260"/>
                      <wp:effectExtent l="0" t="0" r="0" b="0"/>
                      <wp:wrapNone/>
                      <wp:docPr id="215" name="Frame21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00735" cy="175260"/>
                      <wp:effectExtent l="0" t="0" r="0" b="0"/>
                      <wp:wrapNone/>
                      <wp:docPr id="216" name="Frame21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7005" cy="175260"/>
                      <wp:effectExtent l="0" t="0" r="0" b="0"/>
                      <wp:wrapNone/>
                      <wp:docPr id="218" name="Frame21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36600" cy="175260"/>
                      <wp:effectExtent l="0" t="0" r="0" b="0"/>
                      <wp:wrapNone/>
                      <wp:docPr id="219" name="Frame219"/>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1650" cy="175260"/>
                      <wp:effectExtent l="0" t="0" r="0" b="0"/>
                      <wp:wrapNone/>
                      <wp:docPr id="222" name="Frame22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21665" cy="175260"/>
                      <wp:effectExtent l="0" t="0" r="0" b="0"/>
                      <wp:wrapNone/>
                      <wp:docPr id="225" name="Frame225"/>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2026</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6,940,178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9,897,290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5,150,117</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2,214,051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7,364,168</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1,790,061</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2,533,122</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500,613</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870,208</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1,294,436</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1,668,254</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15,191</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1,683,445</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32,037</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69,359</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49,529</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60,452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468,570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499,437</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662"/>
        <w:gridCol w:w="346"/>
        <w:gridCol w:w="284"/>
        <w:gridCol w:w="1261"/>
        <w:gridCol w:w="346"/>
        <w:gridCol w:w="263"/>
        <w:gridCol w:w="1160"/>
        <w:gridCol w:w="346"/>
        <w:gridCol w:w="211"/>
        <w:gridCol w:w="790"/>
        <w:gridCol w:w="346"/>
        <w:gridCol w:w="211"/>
        <w:gridCol w:w="979"/>
      </w:tblGrid>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325370" cy="175260"/>
                      <wp:effectExtent l="0" t="0" r="0" b="0"/>
                      <wp:wrapNone/>
                      <wp:docPr id="226" name="Frame226"/>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0340" cy="175260"/>
                      <wp:effectExtent l="0" t="0" r="0" b="0"/>
                      <wp:wrapNone/>
                      <wp:docPr id="228" name="Frame22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00735" cy="175260"/>
                      <wp:effectExtent l="0" t="0" r="0" b="0"/>
                      <wp:wrapNone/>
                      <wp:docPr id="229" name="Frame22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7005" cy="175260"/>
                      <wp:effectExtent l="0" t="0" r="0" b="0"/>
                      <wp:wrapNone/>
                      <wp:docPr id="231" name="Frame23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36600" cy="175260"/>
                      <wp:effectExtent l="0" t="0" r="0" b="0"/>
                      <wp:wrapNone/>
                      <wp:docPr id="232" name="Frame232"/>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1650" cy="175260"/>
                      <wp:effectExtent l="0" t="0" r="0" b="0"/>
                      <wp:wrapNone/>
                      <wp:docPr id="235" name="Frame23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21665" cy="175260"/>
                      <wp:effectExtent l="0" t="0" r="0" b="0"/>
                      <wp:wrapNone/>
                      <wp:docPr id="238" name="Frame238"/>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4,851,349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6,455,574</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3,732,449</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1,201,941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4,934,390</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1,118,900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1,521,184</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421,786</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634,919</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698,255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887,845</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(12,891)</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874,954</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42,857</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59,432</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36,545</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44,914</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88,813</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bookmarkStart w:id="1535" w:name="_25e54630_a8b9_4343_a750_e361cf123ea2"/>
      <w:bookmarkEnd w:id="1535"/>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36" w:name="Item2ManagementsDiscussionandAnalysisofF"/>
      <w:bookmarkEnd w:id="1536"/>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our historical consolidated financial statements and related notes included elsewhere in this Quarterly Report on Form 10-Q and the Annual Report on Form 10-K filed with the Securities and Exchange Commission for the year ended December 31, 2025 (the “Form 10-K”). This discussion contains “forward-looking statements” regarding our business and industry within the meaning of applicable securities laws and regulations. These statements are based on our current plans and expectations and involve risks and uncertainties that could cause our actual future activities and results of operations to be materially different from those set forth in the forward-looking statements. Important factors that could cause actual results to differ include risks set forth in “Item 1A. Risk Factors” included in our Form 10-K. We undertake no obligation to revise or publicly release the results of any revision to these forward-looking statements, except as required by law. Given these risks and uncertainties, readers are cautioned not to place undue reliance on such forward-looking statements.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Introduction and Overview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technology, manufacturing, healthcare, education, government, office, and retail facilities. We operate our business in two reportable segments: mechanical and electrical.</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Nature and Economics of Our Business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mechanical business segment, customers hire us to ensure heating, ventilation, and air conditioning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electrical business segment, our principal business activity is electrical construction and engineering in the commercial and industrial fields. We also perform electrical contracting services and electrical service work.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Approximately 94.7%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After a customer accepts our bid, we generally enter into a contract with the customer that specifies what we will deliver on the project, what our related responsibilities are, and how much and when we will be paid. Our overall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 materials, and overhead costs account for the majority of our cost of services.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time-and-materials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had 9,399 projects in process. Our average project takes six to nine months to complete, with an average contract price of approximately $3.8 million.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perform larger projects. Taken together, projects with contract prices of $2 million or more totaled $34.03 billion of aggregate contract price as of September 30, 2026, or approximately 95% of a total aggregate contract price for all projects in progress, totaling $35.91 billion. Generally, projects closer in size to $2 million will be completed in one year or less. It is unusual for us to work on a project that exceeds two years in length.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stratification of projects in progress as of September 30, 2026, by aggregate contract price, is as follows:</w:t>
      </w:r>
    </w:p>
    <w:p>
      <w:pPr>
        <w:pStyle w:val="TextBody"/>
        <w:bidi w:val="0"/>
        <w:spacing w:before="0" w:after="0"/>
        <w:ind w:left="0" w:right="0" w:firstLine="720"/>
        <w:jc w:val="left"/>
        <w:rPr/>
      </w:pPr>
      <w:r>
        <w:rPr/>
        <w:t>​</w:t>
      </w:r>
    </w:p>
    <w:tbl>
      <w:tblPr>
        <w:tblW w:w="4513" w:type="dxa"/>
        <w:jc w:val="left"/>
        <w:tblInd w:w="0" w:type="dxa"/>
        <w:tblLayout w:type="fixed"/>
        <w:tblCellMar>
          <w:top w:w="0" w:type="dxa"/>
          <w:left w:w="0" w:type="dxa"/>
          <w:bottom w:w="0" w:type="dxa"/>
          <w:right w:w="0" w:type="dxa"/>
        </w:tblCellMar>
      </w:tblPr>
      <w:tblGrid>
        <w:gridCol w:w="2191"/>
        <w:gridCol w:w="42"/>
        <w:gridCol w:w="104"/>
        <w:gridCol w:w="355"/>
        <w:gridCol w:w="351"/>
        <w:gridCol w:w="55"/>
        <w:gridCol w:w="54"/>
        <w:gridCol w:w="212"/>
        <w:gridCol w:w="208"/>
        <w:gridCol w:w="260"/>
        <w:gridCol w:w="681"/>
      </w:tblGrid>
      <w:tr>
        <w:trPr/>
        <w:tc>
          <w:tcPr>
            <w:tcW w:w="2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17955" cy="175260"/>
                      <wp:effectExtent l="0" t="0" r="0" b="0"/>
                      <wp:wrapNone/>
                      <wp:docPr id="239" name="Frame239"/>
                      <a:graphic xmlns:a="http://schemas.openxmlformats.org/drawingml/2006/main">
                        <a:graphicData uri="http://schemas.microsoft.com/office/word/2010/wordprocessingShape">
                          <wps:wsp>
                            <wps:cNvSpPr txBox="1"/>
                            <wps:spPr>
                              <a:xfrm>
                                <a:off x="0" y="0"/>
                                <a:ext cx="141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91465" cy="175260"/>
                      <wp:effectExtent l="0" t="0" r="0" b="0"/>
                      <wp:wrapNone/>
                      <wp:docPr id="240" name="Frame24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57810" cy="175260"/>
                      <wp:effectExtent l="0" t="0" r="0" b="0"/>
                      <wp:wrapNone/>
                      <wp:docPr id="241" name="Frame24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8910" cy="175260"/>
                      <wp:effectExtent l="0" t="0" r="0" b="0"/>
                      <wp:wrapNone/>
                      <wp:docPr id="242" name="Frame24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97180" cy="175260"/>
                      <wp:effectExtent l="0" t="0" r="0" b="0"/>
                      <wp:wrapNone/>
                      <wp:docPr id="243" name="Frame243"/>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2435" cy="175260"/>
                      <wp:effectExtent l="0" t="0" r="0" b="0"/>
                      <wp:wrapNone/>
                      <wp:docPr id="244" name="Frame244"/>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146" w:type="dxa"/>
            <w:gridSpan w:val="2"/>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109" w:type="dxa"/>
            <w:gridSpan w:val="2"/>
            <w:tcBorders/>
            <w:vAlign w:val="center"/>
          </w:tcPr>
          <w:p>
            <w:pPr>
              <w:pStyle w:val="TableContents"/>
              <w:bidi w:val="0"/>
              <w:spacing w:before="0" w:after="0"/>
              <w:ind w:left="0" w:right="0" w:hanging="0"/>
              <w:jc w:val="left"/>
              <w:rPr/>
            </w:pPr>
            <w:r>
              <w:rPr/>
              <w:t>​</w:t>
            </w:r>
          </w:p>
        </w:tc>
        <w:tc>
          <w:tcPr>
            <w:tcW w:w="136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191" w:type="dxa"/>
            <w:tcBorders/>
            <w:vAlign w:val="center"/>
          </w:tcPr>
          <w:p>
            <w:pPr>
              <w:pStyle w:val="TableContents"/>
              <w:bidi w:val="0"/>
              <w:spacing w:before="0" w:after="0"/>
              <w:ind w:left="0" w:right="0" w:hanging="0"/>
              <w:jc w:val="left"/>
              <w:rPr/>
            </w:pPr>
            <w:r>
              <w:rPr/>
              <w:t>​</w:t>
            </w:r>
          </w:p>
        </w:tc>
        <w:tc>
          <w:tcPr>
            <w:tcW w:w="146" w:type="dxa"/>
            <w:gridSpan w:val="2"/>
            <w:tcBorders/>
            <w:vAlign w:val="center"/>
          </w:tcPr>
          <w:p>
            <w:pPr>
              <w:pStyle w:val="TableContents"/>
              <w:bidi w:val="0"/>
              <w:spacing w:before="0" w:after="0"/>
              <w:ind w:left="0" w:right="0" w:hanging="0"/>
              <w:jc w:val="left"/>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w:t>
            </w:r>
          </w:p>
        </w:tc>
        <w:tc>
          <w:tcPr>
            <w:tcW w:w="109" w:type="dxa"/>
            <w:gridSpan w:val="2"/>
            <w:tcBorders/>
            <w:vAlign w:val="center"/>
          </w:tcPr>
          <w:p>
            <w:pPr>
              <w:pStyle w:val="TableContents"/>
              <w:bidi w:val="0"/>
              <w:spacing w:before="0" w:after="0"/>
              <w:ind w:left="0" w:right="0" w:hanging="0"/>
              <w:jc w:val="left"/>
              <w:rPr/>
            </w:pPr>
            <w:r>
              <w:rPr/>
              <w:t>​</w:t>
            </w:r>
          </w:p>
        </w:tc>
        <w:tc>
          <w:tcPr>
            <w:tcW w:w="136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Price</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Price of Project</w:t>
            </w:r>
          </w:p>
        </w:tc>
        <w:tc>
          <w:tcPr>
            <w:tcW w:w="146" w:type="dxa"/>
            <w:gridSpan w:val="2"/>
            <w:tcBorders/>
            <w:vAlign w:val="center"/>
          </w:tcPr>
          <w:p>
            <w:pPr>
              <w:pStyle w:val="TableContents"/>
              <w:bidi w:val="0"/>
              <w:spacing w:before="0" w:after="0"/>
              <w:ind w:left="0" w:right="0" w:hanging="0"/>
              <w:jc w:val="left"/>
              <w:rPr/>
            </w:pPr>
            <w:r>
              <w:rPr/>
              <w:t>​</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Projects</w:t>
            </w:r>
          </w:p>
        </w:tc>
        <w:tc>
          <w:tcPr>
            <w:tcW w:w="109" w:type="dxa"/>
            <w:gridSpan w:val="2"/>
            <w:tcBorders/>
            <w:vAlign w:val="center"/>
          </w:tcPr>
          <w:p>
            <w:pPr>
              <w:pStyle w:val="TableContents"/>
              <w:bidi w:val="0"/>
              <w:spacing w:before="0" w:after="0"/>
              <w:ind w:left="0" w:right="0" w:hanging="0"/>
              <w:jc w:val="left"/>
              <w:rPr/>
            </w:pPr>
            <w:r>
              <w:rPr/>
              <w:t>​</w:t>
            </w:r>
          </w:p>
        </w:tc>
        <w:tc>
          <w:tcPr>
            <w:tcW w:w="13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$2 million</w:t>
            </w:r>
          </w:p>
        </w:tc>
        <w:tc>
          <w:tcPr>
            <w:tcW w:w="146" w:type="dxa"/>
            <w:gridSpan w:val="2"/>
            <w:tcBorders/>
            <w:shd w:fill="CCEEFF" w:val="clear"/>
            <w:vAlign w:val="center"/>
          </w:tcPr>
          <w:p>
            <w:pPr>
              <w:pStyle w:val="TableContents"/>
              <w:bidi w:val="0"/>
              <w:spacing w:before="0" w:after="0"/>
              <w:ind w:left="0" w:right="0" w:hanging="0"/>
              <w:jc w:val="left"/>
              <w:rPr/>
            </w:pPr>
            <w:r>
              <w:rPr/>
              <w:t> </w:t>
            </w:r>
          </w:p>
        </w:tc>
        <w:tc>
          <w:tcPr>
            <w:tcW w:w="706"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8,022</w:t>
            </w:r>
          </w:p>
        </w:tc>
        <w:tc>
          <w:tcPr>
            <w:tcW w:w="109" w:type="dxa"/>
            <w:gridSpan w:val="2"/>
            <w:tcBorders/>
            <w:shd w:fill="CCEEFF" w:val="clear"/>
            <w:vAlign w:val="center"/>
          </w:tcPr>
          <w:p>
            <w:pPr>
              <w:pStyle w:val="TableContents"/>
              <w:bidi w:val="0"/>
              <w:spacing w:before="0" w:after="0"/>
              <w:ind w:left="0" w:right="0" w:hanging="0"/>
              <w:jc w:val="left"/>
              <w:rPr/>
            </w:pPr>
            <w:r>
              <w:rPr/>
              <w:t>​</w:t>
            </w:r>
          </w:p>
        </w:tc>
        <w:tc>
          <w:tcPr>
            <w:tcW w:w="4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1,874.7</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million - $10 million</w:t>
            </w:r>
          </w:p>
        </w:tc>
        <w:tc>
          <w:tcPr>
            <w:tcW w:w="146" w:type="dxa"/>
            <w:gridSpan w:val="2"/>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109" w:type="dxa"/>
            <w:gridSpan w:val="2"/>
            <w:tcBorders/>
            <w:vAlign w:val="center"/>
          </w:tcPr>
          <w:p>
            <w:pPr>
              <w:pStyle w:val="TableContents"/>
              <w:bidi w:val="0"/>
              <w:spacing w:before="0" w:after="0"/>
              <w:ind w:left="0" w:right="0" w:hanging="0"/>
              <w:jc w:val="left"/>
              <w:rPr/>
            </w:pPr>
            <w:r>
              <w:rPr/>
              <w:t>​</w:t>
            </w:r>
          </w:p>
        </w:tc>
        <w:tc>
          <w:tcPr>
            <w:tcW w:w="420" w:type="dxa"/>
            <w:gridSpan w:val="2"/>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3,590.3</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million - $25 million</w:t>
            </w:r>
          </w:p>
        </w:tc>
        <w:tc>
          <w:tcPr>
            <w:tcW w:w="146" w:type="dxa"/>
            <w:gridSpan w:val="2"/>
            <w:tcBorders/>
            <w:shd w:fill="CCEEFF" w:val="clear"/>
            <w:vAlign w:val="center"/>
          </w:tcPr>
          <w:p>
            <w:pPr>
              <w:pStyle w:val="TableContents"/>
              <w:bidi w:val="0"/>
              <w:spacing w:before="0" w:after="0"/>
              <w:ind w:left="0" w:right="0" w:hanging="0"/>
              <w:jc w:val="left"/>
              <w:rPr/>
            </w:pPr>
            <w:r>
              <w:rPr/>
              <w:t> </w:t>
            </w:r>
          </w:p>
        </w:tc>
        <w:tc>
          <w:tcPr>
            <w:tcW w:w="706"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gridSpan w:val="2"/>
            <w:tcBorders/>
            <w:shd w:fill="CCEEFF" w:val="clear"/>
            <w:vAlign w:val="center"/>
          </w:tcPr>
          <w:p>
            <w:pPr>
              <w:pStyle w:val="TableContents"/>
              <w:bidi w:val="0"/>
              <w:spacing w:before="0" w:after="0"/>
              <w:ind w:left="0" w:right="0" w:hanging="0"/>
              <w:jc w:val="left"/>
              <w:rPr/>
            </w:pPr>
            <w:r>
              <w:rPr/>
              <w:t>​</w:t>
            </w:r>
          </w:p>
        </w:tc>
        <w:tc>
          <w:tcPr>
            <w:tcW w:w="420" w:type="dxa"/>
            <w:gridSpan w:val="2"/>
            <w:tcBorders/>
            <w:shd w:fill="CCEEFF" w:val="clear"/>
            <w:vAlign w:val="center"/>
          </w:tcPr>
          <w:p>
            <w:pPr>
              <w:pStyle w:val="TableContents"/>
              <w:bidi w:val="0"/>
              <w:spacing w:before="0" w:after="0"/>
              <w:ind w:left="0" w:right="0" w:hanging="0"/>
              <w:jc w:val="left"/>
              <w:rPr/>
            </w:pPr>
            <w:r>
              <w:rPr/>
              <w:t> </w:t>
            </w:r>
          </w:p>
        </w:tc>
        <w:tc>
          <w:tcPr>
            <w:tcW w:w="941"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3,976.4</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million - $50 million</w:t>
            </w:r>
          </w:p>
        </w:tc>
        <w:tc>
          <w:tcPr>
            <w:tcW w:w="146" w:type="dxa"/>
            <w:gridSpan w:val="2"/>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gridSpan w:val="2"/>
            <w:tcBorders/>
            <w:vAlign w:val="center"/>
          </w:tcPr>
          <w:p>
            <w:pPr>
              <w:pStyle w:val="TableContents"/>
              <w:bidi w:val="0"/>
              <w:spacing w:before="0" w:after="0"/>
              <w:ind w:left="0" w:right="0" w:hanging="0"/>
              <w:jc w:val="left"/>
              <w:rPr/>
            </w:pPr>
            <w:r>
              <w:rPr/>
              <w:t>​</w:t>
            </w:r>
          </w:p>
        </w:tc>
        <w:tc>
          <w:tcPr>
            <w:tcW w:w="420" w:type="dxa"/>
            <w:gridSpan w:val="2"/>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6,065.7</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$50 million</w:t>
            </w:r>
          </w:p>
        </w:tc>
        <w:tc>
          <w:tcPr>
            <w:tcW w:w="146" w:type="dxa"/>
            <w:gridSpan w:val="2"/>
            <w:tcBorders/>
            <w:shd w:fill="CCEEFF" w:val="clear"/>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gridSpan w:val="2"/>
            <w:tcBorders/>
            <w:shd w:fill="CCEEFF" w:val="clear"/>
            <w:vAlign w:val="center"/>
          </w:tcPr>
          <w:p>
            <w:pPr>
              <w:pStyle w:val="TableContents"/>
              <w:bidi w:val="0"/>
              <w:spacing w:before="0" w:after="0"/>
              <w:ind w:left="0" w:right="0" w:hanging="0"/>
              <w:jc w:val="left"/>
              <w:rPr/>
            </w:pPr>
            <w:r>
              <w:rPr/>
              <w:t>​</w:t>
            </w:r>
          </w:p>
        </w:tc>
        <w:tc>
          <w:tcPr>
            <w:tcW w:w="4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20,399.4</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gridSpan w:val="2"/>
            <w:tcBorders/>
            <w:vAlign w:val="center"/>
          </w:tcPr>
          <w:p>
            <w:pPr>
              <w:pStyle w:val="TableContents"/>
              <w:bidi w:val="0"/>
              <w:spacing w:before="0" w:after="0"/>
              <w:ind w:left="0" w:right="0" w:hanging="0"/>
              <w:jc w:val="left"/>
              <w:rPr/>
            </w:pPr>
            <w:r>
              <w:rPr/>
              <w:t> </w:t>
            </w:r>
          </w:p>
        </w:tc>
        <w:tc>
          <w:tcPr>
            <w:tcW w:w="706" w:type="dxa"/>
            <w:gridSpan w:val="2"/>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109" w:type="dxa"/>
            <w:gridSpan w:val="2"/>
            <w:tcBorders/>
            <w:vAlign w:val="center"/>
          </w:tcPr>
          <w:p>
            <w:pPr>
              <w:pStyle w:val="TableContents"/>
              <w:bidi w:val="0"/>
              <w:spacing w:before="0" w:after="0"/>
              <w:ind w:left="0" w:right="0" w:hanging="0"/>
              <w:jc w:val="left"/>
              <w:rPr/>
            </w:pPr>
            <w:r>
              <w:rPr/>
              <w:t>​</w:t>
            </w:r>
          </w:p>
        </w:tc>
        <w:tc>
          <w:tcPr>
            <w:tcW w:w="420" w:type="dxa"/>
            <w:gridSpan w:val="2"/>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gridSpan w:val="2"/>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35,906.5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project work, approximately 5.3%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30 days. We also provide maintenance and repair services under ongoing contracts. Under these contracts, we are paid regular monthly or quarterly amounts and provide specified service based on customer requirements. These agreements typically are for one or more years and frequently contain 30- to 60-day cancellation notice periods.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technicians to sites requiring service. We perform the majority of this work with our own employees, with the balance being subcontracted to third parties that meet our performance qualifications.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Profile and Management of Our Operations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manage our 52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expenses, backlog, workforce size and mix, growth in revenue and profits, variation of actual project costs from original estimates, and overall financial performance in comparison to budget and updated forecasts. Operational factors we emphasize include project selection, estimating, pricing, safety, management and execution practices, labor utilization, training, and the make-up of both existing backlog as well as new business being pursued, in terms of project size, technical application, facility type, end-use customers and industries, and location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Economic and Industry Factors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extensive enough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 particularly concerns about economic and financial conditions and trends. We have experienced periods of time when economic weakness caused a significant slowdown in decisions to proceed with installation and replacement project work.</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Operating Environment and Management Emphasis</w:t>
      </w:r>
    </w:p>
    <w:p>
      <w:pPr>
        <w:pStyle w:val="TextBody"/>
        <w:pBdr/>
        <w:bidi w:val="0"/>
        <w:spacing w:before="0" w:after="0"/>
        <w:ind w:left="72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We have experienced increasing demand since 2022, culminating in an unprecedented overall demand environment in 2025 and through the third quarter of 2026. We currently expect that the demand environment, especially for manufacturing and technology customers, will remain at high levels for the remainder of 2026 and for 2027. Over the last several years, we have also experienced increases in labor costs and delays in delivery of certain materials and equipment. We anticipate that cost pressures and intermittent delays in our supply chain will persist over the next several quarters</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credit facility in place with terms we believe are favorable that does not expire until October 2030. As of September 30, 2026, we had $1.01 billion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27 calendar years and will continue our emphasis in this area. We believe that the relative size and strength of our Balance Sheet and surety relationships, as compared to most companies in our industry, represent competitive advantages for us.</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at greater length in “Results of Operations” below, we expect price competition to continue as local and regional industry participants compete for customers.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Cyclicality and Seasonality</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will generally be lower in the first calendar quarter. </w:t>
      </w:r>
    </w:p>
    <w:p>
      <w:pPr>
        <w:pStyle w:val="TextBody"/>
        <w:bidi w:val="0"/>
        <w:spacing w:before="0" w:after="0"/>
        <w:ind w:left="0" w:right="0" w:firstLine="720"/>
        <w:jc w:val="left"/>
        <w:rPr/>
      </w:pPr>
      <w:r>
        <w:rPr/>
        <w:t>​</w:t>
      </w:r>
    </w:p>
    <w:p>
      <w:pPr>
        <w:pStyle w:val="TextBody"/>
        <w:pBdr/>
        <w:bidi w:val="0"/>
        <w:spacing w:before="0" w:after="140"/>
        <w:ind w:left="720" w:right="0" w:hanging="360"/>
        <w:jc w:val="left"/>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Management believes that there have been no significant changes during the three months ended September 30, 2026 to the items that we disclosed as our “Critical Accounting Estimates” in Management's Discussion and Analysis of Financial Condition and Results of Operations in our Form 10-K for the fiscal year ended December 31, 2025. </w:t>
      </w:r>
      <w:r>
        <w:rPr>
          <w:rFonts w:ascii="Times New Roman;Times;serif" w:hAnsi="Times New Roman;Times;serif"/>
          <w:sz w:val="20"/>
          <w:shd w:fill="FFFFFF" w:val="clear"/>
        </w:rPr>
        <w:t>A summary of significant accounting policies and a summary of recent accounting pronouncements applicable to our Consolidated Financial Statements are included in Note 2, “Summary of Significant Accounting Policies and Estimates.”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37" w:name="_f7a8ced1_f99c_44b4_86ee_eeefa1bf65e4"/>
      <w:bookmarkEnd w:id="1537"/>
      <w:r>
        <w:rPr>
          <w:rFonts w:ascii="Times New Roman;Times;serif" w:hAnsi="Times New Roman;Times;serif"/>
          <w:b/>
          <w:sz w:val="20"/>
        </w:rPr>
        <w:t>Results of Operations (dollars in thousands):</w:t>
      </w:r>
    </w:p>
    <w:p>
      <w:pPr>
        <w:pStyle w:val="TextBody"/>
        <w:bidi w:val="0"/>
        <w:spacing w:before="0" w:after="0"/>
        <w:ind w:left="0" w:right="0" w:hanging="0"/>
        <w:jc w:val="left"/>
        <w:rPr/>
      </w:pPr>
      <w:r>
        <w:rPr/>
        <w:t>​</w:t>
      </w:r>
    </w:p>
    <w:tbl>
      <w:tblPr>
        <w:tblW w:w="11381" w:type="dxa"/>
        <w:jc w:val="left"/>
        <w:tblInd w:w="0" w:type="dxa"/>
        <w:tblLayout w:type="fixed"/>
        <w:tblCellMar>
          <w:top w:w="0" w:type="dxa"/>
          <w:left w:w="0" w:type="dxa"/>
          <w:bottom w:w="0" w:type="dxa"/>
          <w:right w:w="0" w:type="dxa"/>
        </w:tblCellMar>
      </w:tblPr>
      <w:tblGrid>
        <w:gridCol w:w="1291"/>
        <w:gridCol w:w="346"/>
        <w:gridCol w:w="211"/>
        <w:gridCol w:w="931"/>
        <w:gridCol w:w="346"/>
        <w:gridCol w:w="571"/>
        <w:gridCol w:w="361"/>
        <w:gridCol w:w="211"/>
        <w:gridCol w:w="931"/>
        <w:gridCol w:w="346"/>
        <w:gridCol w:w="571"/>
        <w:gridCol w:w="361"/>
        <w:gridCol w:w="211"/>
        <w:gridCol w:w="931"/>
        <w:gridCol w:w="346"/>
        <w:gridCol w:w="571"/>
        <w:gridCol w:w="361"/>
        <w:gridCol w:w="211"/>
        <w:gridCol w:w="931"/>
        <w:gridCol w:w="346"/>
        <w:gridCol w:w="571"/>
        <w:gridCol w:w="271"/>
        <w:gridCol w:w="154"/>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19785" cy="175260"/>
                      <wp:effectExtent l="0" t="0" r="0" b="0"/>
                      <wp:wrapNone/>
                      <wp:docPr id="245" name="Frame24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8" name="Frame2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9235" cy="175260"/>
                      <wp:effectExtent l="0" t="0" r="0" b="0"/>
                      <wp:wrapNone/>
                      <wp:docPr id="251" name="Frame2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1185" cy="175260"/>
                      <wp:effectExtent l="0" t="0" r="0" b="0"/>
                      <wp:wrapNone/>
                      <wp:docPr id="253" name="Frame2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2585" cy="175260"/>
                      <wp:effectExtent l="0" t="0" r="0" b="0"/>
                      <wp:wrapNone/>
                      <wp:docPr id="255"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9235" cy="175260"/>
                      <wp:effectExtent l="0" t="0" r="0" b="0"/>
                      <wp:wrapNone/>
                      <wp:docPr id="256"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91185" cy="175260"/>
                      <wp:effectExtent l="0" t="0" r="0" b="0"/>
                      <wp:wrapNone/>
                      <wp:docPr id="258" name="Frame2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62585" cy="175260"/>
                      <wp:effectExtent l="0" t="0" r="0" b="0"/>
                      <wp:wrapNone/>
                      <wp:docPr id="260" name="Frame2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9235" cy="175260"/>
                      <wp:effectExtent l="0" t="0" r="0" b="0"/>
                      <wp:wrapNone/>
                      <wp:docPr id="261" name="Frame2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91185" cy="175260"/>
                      <wp:effectExtent l="0" t="0" r="0" b="0"/>
                      <wp:wrapNone/>
                      <wp:docPr id="263" name="Frame2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2585" cy="175260"/>
                      <wp:effectExtent l="0" t="0" r="0" b="0"/>
                      <wp:wrapNone/>
                      <wp:docPr id="265" name="Frame2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72085" cy="175260"/>
                      <wp:effectExtent l="0" t="0" r="0" b="0"/>
                      <wp:wrapNone/>
                      <wp:docPr id="266" name="Frame26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97790" cy="175260"/>
                      <wp:effectExtent l="0" t="0" r="0" b="0"/>
                      <wp:wrapNone/>
                      <wp:docPr id="267" name="Frame26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4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0"/>
              <w:ind w:left="0" w:right="0" w:hanging="0"/>
              <w:jc w:val="left"/>
              <w:rPr/>
            </w:pPr>
            <w:r>
              <w:rPr/>
              <w:t> </w:t>
            </w:r>
          </w:p>
        </w:tc>
        <w:tc>
          <w:tcPr>
            <w:tcW w:w="44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3,766,302</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2,450,969</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9,897,290</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6,455,574</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2,831,820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1,843,098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7,364,168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4,934,390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934,482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607,871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2,533,122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1,521,184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314,165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229,579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870,208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634,919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624,570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378,874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1,668,254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887,845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635,056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370,458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1,683,445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382,421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183,202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489,044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1,301,024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691,752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had 50 operating locations as of December 31, 2025. In the second quarter of 2026, we completed the acquisition of R.C. Hunt Electric, LLC (“Hunt”), which reports as a separate operating location. In the third quarter of 2026, we combined two operating locations into one operating location. Additionally, we completed the acquisitions of Boys Electrical Contractors, LLC (“Boys Electrical”) and a modular company in Texas, which both report as separate operating locations. We had 52 operating locations as of September 30, 2026. Acquisitions are included in our results of operations from the respective acquisition date. The same-store comparison from 2026 to 2025, as described below, excludes Boys Electrical, which was acquired on August 1, 2026, a modular company in Texas, which was acquired on August 1, 2026, Hunt, which was acquired on May 1, 2026, </w:t>
      </w:r>
      <w:r>
        <w:rPr>
          <w:rFonts w:ascii="Times New Roman;Times;serif" w:hAnsi="Times New Roman;Times;serif"/>
          <w:sz w:val="20"/>
          <w:shd w:fill="FFFFFF" w:val="clear"/>
        </w:rPr>
        <w:t>Feyen-Zylstra Holdings, LLC (“Feyen Zylstra”), which was acquired on October 1, 2025,</w:t>
      </w:r>
      <w:r>
        <w:rPr>
          <w:rFonts w:ascii="Times New Roman;Times;serif" w:hAnsi="Times New Roman;Times;serif"/>
          <w:sz w:val="20"/>
        </w:rPr>
        <w:t xml:space="preserve"> </w:t>
      </w:r>
      <w:r>
        <w:rPr>
          <w:rFonts w:ascii="Times New Roman;Times;serif" w:hAnsi="Times New Roman;Times;serif"/>
          <w:sz w:val="20"/>
          <w:shd w:fill="FFFFFF" w:val="clear"/>
        </w:rPr>
        <w:t>Meisner Electric, Inc. (“Meisner”), which was acquired on October 1, 2025, and four months of results for Right Way Plumbing &amp; Mechanical LLC (“Right Way”), which was acquired on May 1, 2025</w:t>
      </w:r>
      <w:r>
        <w:rPr>
          <w:rFonts w:ascii="Times New Roman;Times;serif" w:hAnsi="Times New Roman;Times;serif"/>
          <w:sz w:val="20"/>
        </w:rPr>
        <w:t xml:space="preserve">. An operating location is included in the same-store comparison on the first day it has comparable prior year operating data, except for immaterial acquisitions that are often absorbed and integrated with existing operations.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—Revenue for the third quarter of 2026 increased $1.32 billion, or 53.7%, to $3.77 billion compared to the same period in 2025. </w:t>
      </w:r>
      <w:r>
        <w:rPr>
          <w:rFonts w:ascii="Times New Roman;Times;serif" w:hAnsi="Times New Roman;Times;serif"/>
          <w:sz w:val="20"/>
          <w:shd w:fill="FFFFFF" w:val="clear"/>
        </w:rPr>
        <w:t xml:space="preserve">The increase included a 7.4% increase related to the </w:t>
      </w:r>
      <w:r>
        <w:rPr>
          <w:rFonts w:ascii="Times New Roman;Times;serif" w:hAnsi="Times New Roman;Times;serif"/>
          <w:sz w:val="20"/>
        </w:rPr>
        <w:t xml:space="preserve">Boys Electrical, a modular company in Texas, </w:t>
      </w:r>
      <w:r>
        <w:rPr>
          <w:rFonts w:ascii="Times New Roman;Times;serif" w:hAnsi="Times New Roman;Times;serif"/>
          <w:sz w:val="20"/>
          <w:shd w:fill="FFFFFF" w:val="clear"/>
        </w:rPr>
        <w:t>Hunt, Feyen Zylstra, and Meisner acquisitions, as well as a 46.3% increase in revenue related to same-store activity. </w:t>
      </w:r>
      <w:r>
        <w:rPr>
          <w:rFonts w:ascii="Times New Roman;Times;serif" w:hAnsi="Times New Roman;Times;serif"/>
          <w:sz w:val="20"/>
        </w:rPr>
        <w:t xml:space="preserve">The </w:t>
      </w:r>
      <w:r>
        <w:rPr>
          <w:rFonts w:ascii="Times New Roman;Times;serif" w:hAnsi="Times New Roman;Times;serif"/>
          <w:sz w:val="20"/>
          <w:shd w:fill="FFFFFF" w:val="clear"/>
        </w:rPr>
        <w:t>same-store</w:t>
      </w:r>
      <w:r>
        <w:rPr>
          <w:rFonts w:ascii="Times New Roman;Times;serif" w:hAnsi="Times New Roman;Times;serif"/>
          <w:sz w:val="20"/>
        </w:rPr>
        <w:t xml:space="preserv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(dollars in thousands):</w:t>
      </w:r>
    </w:p>
    <w:p>
      <w:pPr>
        <w:pStyle w:val="TextBody"/>
        <w:shd w:fill="FFFFFF" w:val="clear"/>
        <w:bidi w:val="0"/>
        <w:spacing w:before="100" w:after="100"/>
        <w:ind w:left="0" w:right="0" w:firstLine="720"/>
        <w:jc w:val="left"/>
        <w:rPr/>
      </w:pPr>
      <w:r>
        <w:rPr/>
        <w:t>​</w:t>
      </w:r>
    </w:p>
    <w:tbl>
      <w:tblPr>
        <w:tblW w:w="7126" w:type="dxa"/>
        <w:jc w:val="left"/>
        <w:tblInd w:w="0" w:type="dxa"/>
        <w:tblLayout w:type="fixed"/>
        <w:tblCellMar>
          <w:top w:w="0" w:type="dxa"/>
          <w:left w:w="0" w:type="dxa"/>
          <w:bottom w:w="0" w:type="dxa"/>
          <w:right w:w="0" w:type="dxa"/>
        </w:tblCellMar>
      </w:tblPr>
      <w:tblGrid>
        <w:gridCol w:w="1801"/>
        <w:gridCol w:w="346"/>
        <w:gridCol w:w="211"/>
        <w:gridCol w:w="931"/>
        <w:gridCol w:w="346"/>
        <w:gridCol w:w="571"/>
        <w:gridCol w:w="361"/>
        <w:gridCol w:w="109"/>
        <w:gridCol w:w="211"/>
        <w:gridCol w:w="931"/>
        <w:gridCol w:w="346"/>
        <w:gridCol w:w="571"/>
        <w:gridCol w:w="39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43635" cy="175260"/>
                      <wp:effectExtent l="0" t="0" r="0" b="0"/>
                      <wp:wrapNone/>
                      <wp:docPr id="268" name="Frame26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62585" cy="175260"/>
                      <wp:effectExtent l="0" t="0" r="0" b="0"/>
                      <wp:wrapNone/>
                      <wp:docPr id="273" name="Frame2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29235" cy="175260"/>
                      <wp:effectExtent l="0" t="0" r="0" b="0"/>
                      <wp:wrapNone/>
                      <wp:docPr id="274" name="Frame2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79" name="Frame2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8285" cy="175260"/>
                      <wp:effectExtent l="0" t="0" r="0" b="0"/>
                      <wp:wrapNone/>
                      <wp:docPr id="280" name="Frame2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2,582,889</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1,810,462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1,183,413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640,507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3,766,302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2,450,969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mechanical segment increased $772.4 million, or 42.7%, to $2.58 billion for the third quarter of 2026 compared to the same period in 2025. Of this increase, $7.5 million resulted from the acquisition of a modular company in Texas and $764.9 million was attributable to same-store activity. The same-store revenue increase primarily resulted from an increase in activity in the technology sector at one of our Texas operations ($312.0 million), our large Texas modular operation ($177.8 million), and one of our North Carolina operations ($96.2 million).</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$542.9 million, or 84.8%,</w:t>
      </w:r>
      <w:r>
        <w:rPr>
          <w:rFonts w:ascii="Times New Roman;Times;serif" w:hAnsi="Times New Roman;Times;serif"/>
          <w:color w:val="FF0000"/>
          <w:sz w:val="20"/>
        </w:rPr>
        <w:t> </w:t>
      </w:r>
      <w:r>
        <w:rPr>
          <w:rFonts w:ascii="Times New Roman;Times;serif" w:hAnsi="Times New Roman;Times;serif"/>
          <w:sz w:val="20"/>
        </w:rPr>
        <w:t>to $1.18 billion for the third quarter of 2026 compared to the same period in 2025. Of this increase, $174.1 million resulted from the acquisition of Boys Electrical, Hunt, Feyen Zylstra, and Meisner and $368.8 million was attributable to same-store activity. The same-store revenue increase primarily resulted from an increase in activity in the technology sector at our Texas electrical operation ($300.2 million).</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the first nine months of 2026 increased $3.44 billion, or 53.3%, to $9.90 billion compared to the same period in 2025. The increase included a 6.4% increase related to the Boys Electrical, a modular company in Texas, Hunt, Feyen Zylstra, Meisner, and Right Way acquisitions, as well as a 46.9% increase in revenue related to same-store activity. The same-store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(dollars in thousands):</w:t>
      </w:r>
    </w:p>
    <w:p>
      <w:pPr>
        <w:pStyle w:val="TextBody"/>
        <w:bidi w:val="0"/>
        <w:spacing w:before="0" w:after="0"/>
        <w:ind w:left="0" w:right="0" w:hanging="0"/>
        <w:jc w:val="left"/>
        <w:rPr/>
      </w:pPr>
      <w:r>
        <w:rPr/>
        <w:t>​</w:t>
      </w:r>
    </w:p>
    <w:tbl>
      <w:tblPr>
        <w:tblW w:w="7126" w:type="dxa"/>
        <w:jc w:val="left"/>
        <w:tblInd w:w="0" w:type="dxa"/>
        <w:tblLayout w:type="fixed"/>
        <w:tblCellMar>
          <w:top w:w="0" w:type="dxa"/>
          <w:left w:w="0" w:type="dxa"/>
          <w:bottom w:w="0" w:type="dxa"/>
          <w:right w:w="0" w:type="dxa"/>
        </w:tblCellMar>
      </w:tblPr>
      <w:tblGrid>
        <w:gridCol w:w="1801"/>
        <w:gridCol w:w="346"/>
        <w:gridCol w:w="211"/>
        <w:gridCol w:w="931"/>
        <w:gridCol w:w="346"/>
        <w:gridCol w:w="571"/>
        <w:gridCol w:w="361"/>
        <w:gridCol w:w="109"/>
        <w:gridCol w:w="211"/>
        <w:gridCol w:w="931"/>
        <w:gridCol w:w="346"/>
        <w:gridCol w:w="571"/>
        <w:gridCol w:w="39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143635" cy="175260"/>
                      <wp:effectExtent l="0" t="0" r="0" b="0"/>
                      <wp:wrapNone/>
                      <wp:docPr id="281" name="Frame281"/>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91185" cy="175260"/>
                      <wp:effectExtent l="0" t="0" r="0" b="0"/>
                      <wp:wrapNone/>
                      <wp:docPr id="284" name="Frame2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6" name="Frame2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9235" cy="175260"/>
                      <wp:effectExtent l="0" t="0" r="0" b="0"/>
                      <wp:wrapNone/>
                      <wp:docPr id="287" name="Frame2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91185" cy="175260"/>
                      <wp:effectExtent l="0" t="0" r="0" b="0"/>
                      <wp:wrapNone/>
                      <wp:docPr id="290" name="Frame2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2585" cy="175260"/>
                      <wp:effectExtent l="0" t="0" r="0" b="0"/>
                      <wp:wrapNone/>
                      <wp:docPr id="292" name="Frame2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8285" cy="175260"/>
                      <wp:effectExtent l="0" t="0" r="0" b="0"/>
                      <wp:wrapNone/>
                      <wp:docPr id="293" name="Frame2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3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6,940,178</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4,851,349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2,957,112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1,604,225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9,897,290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6,455,574</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for our mechanical segment increased $2.09 billion, or 43.1%, to $6.94 billion for the first nine months of 2026 compared to the same period in 2025. </w:t>
      </w:r>
      <w:r>
        <w:rPr>
          <w:rFonts w:ascii="Times New Roman;Times;serif" w:hAnsi="Times New Roman;Times;serif"/>
          <w:sz w:val="20"/>
          <w:shd w:fill="FFFFFF" w:val="clear"/>
        </w:rPr>
        <w:t xml:space="preserve">Of this increase, $36.8 million resulted from the acquisition of </w:t>
      </w:r>
      <w:r>
        <w:rPr>
          <w:rFonts w:ascii="Times New Roman;Times;serif" w:hAnsi="Times New Roman;Times;serif"/>
          <w:sz w:val="20"/>
        </w:rPr>
        <w:t>a modular company in Texas</w:t>
      </w:r>
      <w:r>
        <w:rPr>
          <w:rFonts w:ascii="Times New Roman;Times;serif" w:hAnsi="Times New Roman;Times;serif"/>
          <w:sz w:val="20"/>
          <w:shd w:fill="FFFFFF" w:val="clear"/>
        </w:rPr>
        <w:t xml:space="preserve"> and Right Way and $2.05 billion was attributable to same-store activity. The same-store revenue</w:t>
      </w:r>
      <w:r>
        <w:rPr>
          <w:rFonts w:ascii="Times New Roman;Times;serif" w:hAnsi="Times New Roman;Times;serif"/>
          <w:sz w:val="20"/>
        </w:rPr>
        <w:t xml:space="preserve"> increase primarily resulted from an increase in activity in the technology sector at one of our Texas operations ($712.8 million), one of our North Carolina operations ($344.8 million), our large Texas modular operation ($338.5 million), and one of our Indiana operations ($331.4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$1.35 billion, or 84.3%,</w:t>
      </w:r>
      <w:r>
        <w:rPr>
          <w:rFonts w:ascii="Times New Roman;Times;serif" w:hAnsi="Times New Roman;Times;serif"/>
          <w:color w:val="FF0000"/>
          <w:sz w:val="20"/>
        </w:rPr>
        <w:t xml:space="preserve"> </w:t>
      </w:r>
      <w:r>
        <w:rPr>
          <w:rFonts w:ascii="Times New Roman;Times;serif" w:hAnsi="Times New Roman;Times;serif"/>
          <w:sz w:val="20"/>
        </w:rPr>
        <w:t xml:space="preserve">to $2.96 billion for the first nine months of 2026 compared to the same period in 2025. </w:t>
      </w:r>
      <w:r>
        <w:rPr>
          <w:rFonts w:ascii="Times New Roman;Times;serif" w:hAnsi="Times New Roman;Times;serif"/>
          <w:sz w:val="20"/>
          <w:shd w:fill="FFFFFF" w:val="clear"/>
        </w:rPr>
        <w:t>Of this increase, $376.7 million resulted from the acquisition of Boys Electrical, Hunt, Feyen Zylstra, and Meisner and $976.2 million was attributable to same-store activity. The same-store revenue</w:t>
      </w:r>
      <w:r>
        <w:rPr>
          <w:rFonts w:ascii="Times New Roman;Times;serif" w:hAnsi="Times New Roman;Times;serif"/>
          <w:sz w:val="20"/>
        </w:rPr>
        <w:t xml:space="preserve"> increase primarily resulted from an increase in activity in the technology sector at our Texas electrical operation ($687.8 million) and in the manufacturing sector at one of our Kentucky operations ($134.2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12 months. As a result, we believe the predictive value of backlog information is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to indications of general revenue direction over the near term and should not be interpreted as indicative of ongoing revenue performance over several quarters.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backlog (dollars in thousands):</w:t>
      </w:r>
    </w:p>
    <w:p>
      <w:pPr>
        <w:pStyle w:val="TextBody"/>
        <w:bidi w:val="0"/>
        <w:spacing w:before="0" w:after="0"/>
        <w:ind w:left="0" w:right="0" w:firstLine="720"/>
        <w:jc w:val="left"/>
        <w:rPr/>
      </w:pPr>
      <w:r>
        <w:rPr/>
        <w:t>​</w:t>
      </w:r>
    </w:p>
    <w:tbl>
      <w:tblPr>
        <w:tblW w:w="9850" w:type="dxa"/>
        <w:jc w:val="left"/>
        <w:tblInd w:w="0" w:type="dxa"/>
        <w:tblLayout w:type="fixed"/>
        <w:tblCellMar>
          <w:top w:w="0" w:type="dxa"/>
          <w:left w:w="0" w:type="dxa"/>
          <w:bottom w:w="0" w:type="dxa"/>
          <w:right w:w="0" w:type="dxa"/>
        </w:tblCellMar>
      </w:tblPr>
      <w:tblGrid>
        <w:gridCol w:w="1801"/>
        <w:gridCol w:w="346"/>
        <w:gridCol w:w="211"/>
        <w:gridCol w:w="1036"/>
        <w:gridCol w:w="346"/>
        <w:gridCol w:w="571"/>
        <w:gridCol w:w="361"/>
        <w:gridCol w:w="109"/>
        <w:gridCol w:w="211"/>
        <w:gridCol w:w="1036"/>
        <w:gridCol w:w="346"/>
        <w:gridCol w:w="571"/>
        <w:gridCol w:w="346"/>
        <w:gridCol w:w="109"/>
        <w:gridCol w:w="211"/>
        <w:gridCol w:w="931"/>
        <w:gridCol w:w="346"/>
        <w:gridCol w:w="571"/>
        <w:gridCol w:w="39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143635" cy="175260"/>
                      <wp:effectExtent l="0" t="0" r="0" b="0"/>
                      <wp:wrapNone/>
                      <wp:docPr id="294" name="Frame294"/>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57860" cy="175260"/>
                      <wp:effectExtent l="0" t="0" r="0" b="0"/>
                      <wp:wrapNone/>
                      <wp:docPr id="297" name="Frame2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2585" cy="175260"/>
                      <wp:effectExtent l="0" t="0" r="0" b="0"/>
                      <wp:wrapNone/>
                      <wp:docPr id="299" name="Frame2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9235" cy="175260"/>
                      <wp:effectExtent l="0" t="0" r="0" b="0"/>
                      <wp:wrapNone/>
                      <wp:docPr id="300" name="Frame3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57860" cy="175260"/>
                      <wp:effectExtent l="0" t="0" r="0" b="0"/>
                      <wp:wrapNone/>
                      <wp:docPr id="303" name="Frame3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5" name="Frame3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91185" cy="175260"/>
                      <wp:effectExtent l="0" t="0" r="0" b="0"/>
                      <wp:wrapNone/>
                      <wp:docPr id="309" name="Frame3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62585" cy="175260"/>
                      <wp:effectExtent l="0" t="0" r="0" b="0"/>
                      <wp:wrapNone/>
                      <wp:docPr id="311" name="Frame3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8285" cy="175260"/>
                      <wp:effectExtent l="0" t="0" r="0" b="0"/>
                      <wp:wrapNone/>
                      <wp:docPr id="312" name="Frame3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91" w:type="dxa"/>
            <w:tcBorders/>
            <w:vAlign w:val="center"/>
          </w:tcPr>
          <w:p>
            <w:pPr>
              <w:pStyle w:val="TableContents"/>
              <w:bidi w:val="0"/>
              <w:spacing w:before="0" w:after="0"/>
              <w:ind w:left="0" w:right="0" w:hanging="0"/>
              <w:jc w:val="left"/>
              <w:rPr/>
            </w:pPr>
            <w:r>
              <w:rPr/>
              <w:t>  ​ ​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12,204,936</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9,026,661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6,790,316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5,609,906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2,586,522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17,814,842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11,944,601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9,376,838</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Backlog as of September 30, 2026 was $17.81 billion, a 26.7% increase from June 30, 2026 backlog of $14.06 billion, and a 90.0% increase from September 30, 2025 backlog of $9.38 billion. The sequential backlog increase included the acquisition of Boys Electrical ($56.5 million) and a modular company in Texas ($27.4 million), as well as a same-store increase of $3.67 billion, or 26.1%. Same-store </w:t>
      </w:r>
      <w:r>
        <w:rPr>
          <w:rFonts w:ascii="Times New Roman;Times;serif" w:hAnsi="Times New Roman;Times;serif"/>
          <w:sz w:val="20"/>
          <w:shd w:fill="FFFFFF" w:val="clear"/>
        </w:rPr>
        <w:t xml:space="preserve">sequential backlog growth </w:t>
      </w:r>
      <w:r>
        <w:rPr>
          <w:rFonts w:ascii="Times New Roman;Times;serif" w:hAnsi="Times New Roman;Times;serif"/>
          <w:sz w:val="20"/>
        </w:rPr>
        <w:t xml:space="preserve">was primarily a result of increases in the technology sector at our Texas electrical operation ($1.51 billion), our large Texas modular operation ($978.1 million), one of our Virginia operations ($583.4 million), and one of our Texas operations ($505.7 million). The year-over-year backlog increase included the acquisitions of Hunt ($193.6 million), </w:t>
      </w:r>
      <w:r>
        <w:rPr>
          <w:rFonts w:ascii="Times New Roman;Times;serif" w:hAnsi="Times New Roman;Times;serif"/>
          <w:sz w:val="20"/>
          <w:shd w:fill="FFFFFF" w:val="clear"/>
        </w:rPr>
        <w:t>Feyen Zylstra ($79.3</w:t>
      </w:r>
      <w:r>
        <w:rPr>
          <w:rFonts w:ascii="Times New Roman;Times;serif" w:hAnsi="Times New Roman;Times;serif"/>
          <w:sz w:val="20"/>
        </w:rPr>
        <w:t xml:space="preserve"> million)</w:t>
      </w:r>
      <w:r>
        <w:rPr>
          <w:rFonts w:ascii="Times New Roman;Times;serif" w:hAnsi="Times New Roman;Times;serif"/>
          <w:sz w:val="20"/>
          <w:shd w:fill="FFFFFF" w:val="clear"/>
        </w:rPr>
        <w:t>, Meisner (</w:t>
      </w:r>
      <w:r>
        <w:rPr>
          <w:rFonts w:ascii="Times New Roman;Times;serif" w:hAnsi="Times New Roman;Times;serif"/>
          <w:sz w:val="20"/>
        </w:rPr>
        <w:t>$72.3 million), Boys Electrical ($56.5 million), and a modular company in Texas ($27.4 million),</w:t>
      </w:r>
      <w:r>
        <w:rPr>
          <w:rFonts w:ascii="Times New Roman;Times;serif" w:hAnsi="Times New Roman;Times;serif"/>
          <w:sz w:val="20"/>
          <w:shd w:fill="FFFFFF" w:val="clear"/>
        </w:rPr>
        <w:t xml:space="preserve"> as</w:t>
      </w:r>
      <w:r>
        <w:rPr>
          <w:rFonts w:ascii="Times New Roman;Times;serif" w:hAnsi="Times New Roman;Times;serif"/>
          <w:sz w:val="20"/>
        </w:rPr>
        <w:t xml:space="preserve"> well as a same-store increase of $8.01 billion, or 85.4%. Same-store year-over-year backlog growth was primarily attributable to increases in the technology sector at our large Texas modular operation ($2.72 billion), our Texas electrical operation ($2.64 billion), one of our Texas operations ($1.04 billion), and one of our Virginia operations ($793.1 million).</w:t>
      </w:r>
    </w:p>
    <w:p>
      <w:pPr>
        <w:pStyle w:val="TextBody"/>
        <w:bidi w:val="0"/>
        <w:spacing w:before="0" w:after="0"/>
        <w:ind w:left="0" w:right="0" w:firstLine="72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—Gross profit increased $326.6 million, or 53.7%, to $934.5 million for the third quarter of 2026 as compared to the same period in 2025. </w:t>
      </w:r>
      <w:r>
        <w:rPr>
          <w:rFonts w:ascii="Times New Roman;Times;serif" w:hAnsi="Times New Roman;Times;serif"/>
          <w:sz w:val="20"/>
          <w:shd w:fill="FFFFFF" w:val="clear"/>
        </w:rPr>
        <w:t>The increase included a $24.2 million, or 4.0%, increase related to the </w:t>
      </w:r>
      <w:r>
        <w:rPr>
          <w:rFonts w:ascii="Times New Roman;Times;serif" w:hAnsi="Times New Roman;Times;serif"/>
          <w:sz w:val="20"/>
        </w:rPr>
        <w:t xml:space="preserve">Boys Electrical, a modular company in Texas, </w:t>
      </w:r>
      <w:r>
        <w:rPr>
          <w:rFonts w:ascii="Times New Roman;Times;serif" w:hAnsi="Times New Roman;Times;serif"/>
          <w:sz w:val="20"/>
          <w:shd w:fill="FFFFFF" w:val="clear"/>
        </w:rPr>
        <w:t xml:space="preserve">Hunt, Feyen Zylstra, and Meisner acquisitions, as well as a $302.4 million, or 49.7%, increase on a same-store basis. The same-store increase in gross profit was driven by a 46.3% increase in same-store revenues in the current year, as well as improved execution in our operations across numerous operating locations. </w:t>
      </w:r>
      <w:r>
        <w:rPr>
          <w:rFonts w:ascii="Times New Roman;Times;serif" w:hAnsi="Times New Roman;Times;serif"/>
          <w:sz w:val="20"/>
        </w:rPr>
        <w:t xml:space="preserve">The increase in gross profit was partially offset by </w:t>
      </w:r>
      <w:r>
        <w:rPr>
          <w:rFonts w:ascii="Times New Roman;Times;serif" w:hAnsi="Times New Roman;Times;serif"/>
          <w:sz w:val="20"/>
          <w:shd w:fill="FFFFFF" w:val="clear"/>
        </w:rPr>
        <w:t>favorable developments on certain large jobs in the third quarter of 2025, including recognition of $15.5 million of previously unrecognized revenue as a customer emerged from bankruptcy that did not recur in the current year. As a percentage of revenue, gross profit for the third quarter was 24.8% in both 2025 and 2026.</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profit increased $1.01 billion, or 66.5%, to $2.53 billion for the first nine months of 2026 as compared to the same period in 2025. </w:t>
      </w:r>
      <w:r>
        <w:rPr>
          <w:rFonts w:ascii="Times New Roman;Times;serif" w:hAnsi="Times New Roman;Times;serif"/>
          <w:sz w:val="20"/>
          <w:shd w:fill="FFFFFF" w:val="clear"/>
        </w:rPr>
        <w:t>The increase included a $62.7 million, or 4.1%, increase related to the </w:t>
      </w:r>
      <w:r>
        <w:rPr>
          <w:rFonts w:ascii="Times New Roman;Times;serif" w:hAnsi="Times New Roman;Times;serif"/>
          <w:sz w:val="20"/>
        </w:rPr>
        <w:t xml:space="preserve">Boys Electrical, a modular company in Texas, </w:t>
      </w:r>
      <w:r>
        <w:rPr>
          <w:rFonts w:ascii="Times New Roman;Times;serif" w:hAnsi="Times New Roman;Times;serif"/>
          <w:sz w:val="20"/>
          <w:shd w:fill="FFFFFF" w:val="clear"/>
        </w:rPr>
        <w:t>Hunt, Feyen Zylstra, Meisner, and Right Way acquisitions, as well as a $949.2 million, or 62.4%, increase on a same-store basis. The same-store increase in gross profit was driven by a 46.9% increase in same-store revenues in the current year, as well as improved execution in our operations across numerous operating locations. During the first quarter of 2026, we benefited from favorable developments on projects nearing completion, including change orders received on certain jobs during the quarter, of approximately $43.1 million. These favorable developments impacted both our mechanical and electrical segments, with the largest portion benefiting the mechanical segment.</w:t>
      </w:r>
      <w:r>
        <w:rPr>
          <w:rFonts w:ascii="Times New Roman;Times;serif" w:hAnsi="Times New Roman;Times;serif"/>
          <w:sz w:val="20"/>
        </w:rPr>
        <w:t xml:space="preserve"> The increase in gross profit was partially offset by </w:t>
      </w:r>
      <w:r>
        <w:rPr>
          <w:rFonts w:ascii="Times New Roman;Times;serif" w:hAnsi="Times New Roman;Times;serif"/>
          <w:sz w:val="20"/>
          <w:shd w:fill="FFFFFF" w:val="clear"/>
        </w:rPr>
        <w:t>favorable developments on certain large jobs in the third quarter of 2025, including recognition of $15.5 million of previously unrecognized revenue as a customer emerged from bankruptcy that did not recur in the current year. </w:t>
      </w:r>
      <w:r>
        <w:rPr>
          <w:rFonts w:ascii="Times New Roman;Times;serif" w:hAnsi="Times New Roman;Times;serif"/>
          <w:sz w:val="20"/>
        </w:rPr>
        <w:t xml:space="preserve">As a percentage of revenue, gross profit for the nine-month period increased from 23.6% in 2025 to 25.6% in 2026, primarily due to the factors discussed above and improvements in our mechanical segment gross profit margin.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—SG&amp;A increased $84.6 million, or 36.8%, to $314.2 million for the third quarter of 2026 as compared to 2025. </w:t>
      </w:r>
      <w:r>
        <w:rPr>
          <w:rFonts w:ascii="Times New Roman;Times;serif" w:hAnsi="Times New Roman;Times;serif"/>
          <w:sz w:val="20"/>
          <w:shd w:fill="FFFFFF" w:val="clear"/>
        </w:rPr>
        <w:t>On a same-store basis, excluding amortization expense, SG&amp;A increased $61.2 million, or 28.5%. The same-store</w:t>
      </w:r>
      <w:r>
        <w:rPr>
          <w:rFonts w:ascii="Times New Roman;Times;serif" w:hAnsi="Times New Roman;Times;serif"/>
          <w:sz w:val="20"/>
        </w:rPr>
        <w:t xml:space="preserve"> increase was primarily due to higher same-store revenue and increased compensation costs ($41.2 million), largely attributable to increased headcount and increased cost of labor. Amortization expense increased $3.8 million during the period, primarily as a result of the Boys Electrical, Hunt, </w:t>
      </w:r>
      <w:r>
        <w:rPr>
          <w:rFonts w:ascii="Times New Roman;Times;serif" w:hAnsi="Times New Roman;Times;serif"/>
          <w:sz w:val="20"/>
          <w:shd w:fill="FFFFFF" w:val="clear"/>
        </w:rPr>
        <w:t xml:space="preserve">Feyen Zylstra, and Meisner </w:t>
      </w:r>
      <w:r>
        <w:rPr>
          <w:rFonts w:ascii="Times New Roman;Times;serif" w:hAnsi="Times New Roman;Times;serif"/>
          <w:sz w:val="20"/>
        </w:rPr>
        <w:t>acquisitions. As a percentage of revenue, SG&amp;A for the third quarter decreased from 9.4% in 2025 to 8.3% in 2026 due to leverage resulting from the increase in revenue.</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SG&amp;A increased $235.3 million, or 37.1%, to $870.2 million for the first nine months of 2026 as compared to 2025. </w:t>
      </w:r>
      <w:r>
        <w:rPr>
          <w:rFonts w:ascii="Times New Roman;Times;serif" w:hAnsi="Times New Roman;Times;serif"/>
          <w:sz w:val="20"/>
          <w:shd w:fill="FFFFFF" w:val="clear"/>
        </w:rPr>
        <w:t>On a same-store basis, excluding amortization expense, SG&amp;A increased $181.2 million, or 30.7%. The same-store</w:t>
      </w:r>
      <w:r>
        <w:rPr>
          <w:rFonts w:ascii="Times New Roman;Times;serif" w:hAnsi="Times New Roman;Times;serif"/>
          <w:sz w:val="20"/>
        </w:rPr>
        <w:t xml:space="preserve"> increase was primarily due to higher same-store revenue and increased compensation costs ($144.3 million), largely attributable to increased headcount and increased cost of labor. Amortization expense increased $8.3 million during the period, primarily as a result of the Boys Electrical, a modular company in Texas, Hunt, </w:t>
      </w:r>
      <w:r>
        <w:rPr>
          <w:rFonts w:ascii="Times New Roman;Times;serif" w:hAnsi="Times New Roman;Times;serif"/>
          <w:sz w:val="20"/>
          <w:shd w:fill="FFFFFF" w:val="clear"/>
        </w:rPr>
        <w:t xml:space="preserve">Feyen Zylstra, and Meisner </w:t>
      </w:r>
      <w:r>
        <w:rPr>
          <w:rFonts w:ascii="Times New Roman;Times;serif" w:hAnsi="Times New Roman;Times;serif"/>
          <w:sz w:val="20"/>
        </w:rPr>
        <w:t xml:space="preserve">acquisitions. As a percentage of revenue, SG&amp;A for the nine-month period decreased from 9.8% in 2025 to 8.8% in 2026 due to leverage resulting from the increase in revenue.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included same-store SG&amp;A, excluding amortization expense,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pStyle w:val="TextBody"/>
        <w:bidi w:val="0"/>
        <w:spacing w:before="0" w:after="0"/>
        <w:ind w:left="0" w:right="0" w:firstLine="72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4204"/>
        <w:gridCol w:w="346"/>
        <w:gridCol w:w="239"/>
        <w:gridCol w:w="902"/>
        <w:gridCol w:w="391"/>
        <w:gridCol w:w="239"/>
        <w:gridCol w:w="902"/>
        <w:gridCol w:w="346"/>
        <w:gridCol w:w="225"/>
        <w:gridCol w:w="852"/>
        <w:gridCol w:w="370"/>
        <w:gridCol w:w="225"/>
        <w:gridCol w:w="964"/>
      </w:tblGrid>
      <w:tr>
        <w:trPr/>
        <w:tc>
          <w:tcPr>
            <w:tcW w:w="4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69540" cy="175260"/>
                      <wp:effectExtent l="0" t="0" r="0" b="0"/>
                      <wp:wrapNone/>
                      <wp:docPr id="313" name="Frame313"/>
                      <a:graphic xmlns:a="http://schemas.openxmlformats.org/drawingml/2006/main">
                        <a:graphicData uri="http://schemas.microsoft.com/office/word/2010/wordprocessingShape">
                          <wps:wsp>
                            <wps:cNvSpPr txBox="1"/>
                            <wps:spPr>
                              <a:xfrm>
                                <a:off x="0" y="0"/>
                                <a:ext cx="266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1765" cy="175260"/>
                      <wp:effectExtent l="0" t="0" r="0" b="0"/>
                      <wp:wrapNone/>
                      <wp:docPr id="315" name="Frame3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72770" cy="175260"/>
                      <wp:effectExtent l="0" t="0" r="0" b="0"/>
                      <wp:wrapNone/>
                      <wp:docPr id="316" name="Frame316"/>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48285" cy="175260"/>
                      <wp:effectExtent l="0" t="0" r="0" b="0"/>
                      <wp:wrapNone/>
                      <wp:docPr id="317" name="Frame3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51765" cy="175260"/>
                      <wp:effectExtent l="0" t="0" r="0" b="0"/>
                      <wp:wrapNone/>
                      <wp:docPr id="318" name="Frame3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72770" cy="175260"/>
                      <wp:effectExtent l="0" t="0" r="0" b="0"/>
                      <wp:wrapNone/>
                      <wp:docPr id="319" name="Frame31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2875" cy="175260"/>
                      <wp:effectExtent l="0" t="0" r="0" b="0"/>
                      <wp:wrapNone/>
                      <wp:docPr id="321" name="Frame32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41020" cy="175260"/>
                      <wp:effectExtent l="0" t="0" r="0" b="0"/>
                      <wp:wrapNone/>
                      <wp:docPr id="322" name="Frame322"/>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34950" cy="175260"/>
                      <wp:effectExtent l="0" t="0" r="0" b="0"/>
                      <wp:wrapNone/>
                      <wp:docPr id="323" name="Frame32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2875" cy="175260"/>
                      <wp:effectExtent l="0" t="0" r="0" b="0"/>
                      <wp:wrapNone/>
                      <wp:docPr id="324" name="Frame32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12140" cy="175260"/>
                      <wp:effectExtent l="0" t="0" r="0" b="0"/>
                      <wp:wrapNone/>
                      <wp:docPr id="325" name="Frame325"/>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left"/>
              <w:rPr/>
            </w:pPr>
            <w:r>
              <w:rPr/>
              <w:t> </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2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0"/>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w:t>
            </w:r>
          </w:p>
        </w:tc>
        <w:tc>
          <w:tcPr>
            <w:tcW w:w="26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314,165</w:t>
            </w:r>
          </w:p>
        </w:tc>
        <w:tc>
          <w:tcPr>
            <w:tcW w:w="39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229,579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870,208</w:t>
            </w:r>
          </w:p>
        </w:tc>
        <w:tc>
          <w:tcPr>
            <w:tcW w:w="370"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634,919</w:t>
            </w:r>
          </w:p>
        </w:tc>
      </w:tr>
      <w:tr>
        <w:trPr/>
        <w:tc>
          <w:tcPr>
            <w:tcW w:w="4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SG&amp;A from companies acquired</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(19,610)</w:t>
            </w:r>
          </w:p>
        </w:tc>
        <w:tc>
          <w:tcPr>
            <w:tcW w:w="39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(45,832)</w:t>
            </w:r>
          </w:p>
        </w:tc>
        <w:tc>
          <w:tcPr>
            <w:tcW w:w="370"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right"/>
              <w:rPr/>
            </w:pPr>
            <w:r>
              <w:rPr/>
              <w:t>—</w:t>
            </w:r>
          </w:p>
        </w:tc>
      </w:tr>
      <w:tr>
        <w:trPr/>
        <w:tc>
          <w:tcPr>
            <w:tcW w:w="4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(18,795)</w:t>
            </w:r>
          </w:p>
        </w:tc>
        <w:tc>
          <w:tcPr>
            <w:tcW w:w="391"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(52,689)</w:t>
            </w:r>
          </w:p>
        </w:tc>
        <w:tc>
          <w:tcPr>
            <w:tcW w:w="370"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(44,436)</w:t>
            </w:r>
          </w:p>
        </w:tc>
      </w:tr>
      <w:tr>
        <w:trPr/>
        <w:tc>
          <w:tcPr>
            <w:tcW w:w="4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Same-store SG&amp;A, excluding amortization expense</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275,760</w:t>
            </w:r>
          </w:p>
        </w:tc>
        <w:tc>
          <w:tcPr>
            <w:tcW w:w="391"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214,549</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771,687</w:t>
            </w:r>
          </w:p>
        </w:tc>
        <w:tc>
          <w:tcPr>
            <w:tcW w:w="370"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590,483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—Interest income increased $9.6 million, or 150.4%, to $16.0 million for the third quarter of 2026 as compared to the same period in 2025. Interest income increased $22.1 million, or 163.9%, to $35.5 million for the first nine months of 2026 compared to the same period in 2025. The increase in interest income for the third quarter and first nine months of 2026 was primarily due to an increase in our average cash balance compared to the prior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—Interest expense decreased $1.5 million, or 50.2%, to $1.5 million for the third quarter of 2026 as compared to the same period in 2025. Interest expense decreased $1.1 million, or 17.8%, to $5.1 million, for the first nine months of 2026 compared to the same period in 2025. The decrease in interest expense for the third quarter and the first nine months of 2026 was primarily due to a decrease in our average outstanding debt balance compared to the prior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the Fair Value of Contingent Earn-out Obligations</w:t>
      </w:r>
      <w:r>
        <w:rPr>
          <w:rFonts w:ascii="Times New Roman;Times;serif" w:hAnsi="Times New Roman;Times;serif"/>
          <w:sz w:val="20"/>
        </w:rPr>
        <w:t>—The contingent earn-out obligations are measured at fair value each reporting period, and changes in estimates of fair value are recognized in earnings. Expense from changes in the fair value of contingent earn-out obligations for the third quarter of 2026 decreased $7.8 million, or 64.5%, as compared to the same period in 2025. The decrease in earn-out expense for the third quarter was primarily due to lower expense at one of our Texas operations, as a result of them achieving their maximum cumulative earn-out target in the prior year. Expense from changes in the fair value of contingent earn-out obligations for the first nine months of 2026 decreased $3.2 million, or 16.2%, as compared to the same period in 2025. The decrease in earn-out expense for the first nine months of 2026 was primarily due to lower expense at one of our Texas operations and one of our Florida operations, as a result of them achieving their maximum cumulative earn-out target in the prior year. The decrease in earn-out expense was partially offset by higher expense at Feyen Zylstra due to higher actual and projected earnings.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—Our provision for income taxes for the nine months ended September 30, 2026 was $382.4 million with an effective tax rate of 22.7% as compared to a provision for income taxes of $183.2 million with an effective tax rate of 20.9% for the same period in 2025. The effective tax rate for 2026 was higher than the 21% federal statutory rate primarily due to $39.6 million of net state income taxes (2.4%) and $15.4 million of nontaxable or nondeductible items (0.9%), partially offset by a $24.9 million credit for increasing research activities (“R&amp;D tax credit”) (1.5%). The effective tax rate for 2025 was slightly lower than the 21% federal statutory rate primarily due to a $24.2 million R&amp;D tax credit (2.8%) and recognizing $8.9 million of net interest income on our 2022 federal overpayment (1.0%), partially offset by $25.8 million of net state income taxes (3.0%) and $5.9 million of nontaxable or nondeductible items (0.7%).</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experienced an unprecedented demand environment in 2025 and through the first nine months of 2026, and we continue to experience increased labor costs and intermittent supply chain shortages, including delays in delivery of certain materials and equipment. We are recognizing these challenges in our job planning and pricing, and we are ordering materials on an earlier timeline and seeking to collaborate with customers to share supply risks and to mitigate the effects of these challenges. We have been generally successful in maintaining productivity and in procuring needed materials despite ongoing challenges.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good pipeline of opportunities and potential backlog. Considering our substantial advance bookings, we anticipate high ongoing demand leading to solid earnings for the remainder of 2026. Although we are preparing for a wide range of challenges and economic circumstances, including a potential recession, we currently expect that supportive conditions for our industry, especially for our manufacturing and technology customers, are likely to continue for the remainder of 2026 and 2027.</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538" w:name="_b15201b4_aaca_4f4d_b337_082aeac00e43"/>
      <w:bookmarkEnd w:id="1538"/>
      <w:r>
        <w:rPr>
          <w:rFonts w:ascii="Times New Roman;Times;serif" w:hAnsi="Times New Roman;Times;serif"/>
          <w:b/>
          <w:sz w:val="20"/>
        </w:rPr>
        <w:t>Liquidity and Capital Resources</w:t>
      </w:r>
    </w:p>
    <w:p>
      <w:pPr>
        <w:pStyle w:val="TextBody"/>
        <w:pBdr/>
        <w:bidi w:val="0"/>
        <w:spacing w:before="0" w:after="0"/>
        <w:ind w:left="720" w:right="0" w:hanging="360"/>
        <w:jc w:val="left"/>
        <w:rPr/>
      </w:pPr>
      <w:r>
        <w:rPr/>
        <w:t>​</w:t>
      </w:r>
    </w:p>
    <w:tbl>
      <w:tblPr>
        <w:tblW w:w="6892" w:type="dxa"/>
        <w:jc w:val="left"/>
        <w:tblInd w:w="0" w:type="dxa"/>
        <w:tblLayout w:type="fixed"/>
        <w:tblCellMar>
          <w:top w:w="0" w:type="dxa"/>
          <w:left w:w="0" w:type="dxa"/>
          <w:bottom w:w="0" w:type="dxa"/>
          <w:right w:w="0" w:type="dxa"/>
        </w:tblCellMar>
      </w:tblPr>
      <w:tblGrid>
        <w:gridCol w:w="3901"/>
        <w:gridCol w:w="346"/>
        <w:gridCol w:w="211"/>
        <w:gridCol w:w="931"/>
        <w:gridCol w:w="346"/>
        <w:gridCol w:w="211"/>
        <w:gridCol w:w="9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477135" cy="175260"/>
                      <wp:effectExtent l="0" t="0" r="0" b="0"/>
                      <wp:wrapNone/>
                      <wp:docPr id="326" name="Frame32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91185" cy="175260"/>
                      <wp:effectExtent l="0" t="0" r="0" b="0"/>
                      <wp:wrapNone/>
                      <wp:docPr id="329" name="Frame3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00710" cy="175260"/>
                      <wp:effectExtent l="0" t="0" r="0" b="0"/>
                      <wp:wrapNone/>
                      <wp:docPr id="332" name="Frame33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717,816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(235,996)</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(171,236)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310,584</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717,816</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(88,813)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2,047,172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632,155</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Cash Flow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does not require significant amounts of investment in long-term fixed assets. The substantial majority of the capital used in our business is working capital that funds our cost of labor and installed equipment deployed in project work until our customer pays us. Project contracts in our industry also frequently allow for a small portion of progress billings or contract price to be withheld by the customer until after we have completed the work. Amounts withheld under this practice are known as retention or retainage. Our average project duration, together with typical retention terms, generally allow us to complete the realization of revenue and earnings in cash within one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Operating Activities</w:t>
      </w:r>
      <w:r>
        <w:rPr>
          <w:rFonts w:ascii="Times New Roman;Times;serif" w:hAnsi="Times New Roman;Times;serif"/>
          <w:sz w:val="20"/>
        </w:rPr>
        <w:t xml:space="preserve">—Cash flow from operations is primarily influenced by demand for our services and operating margins but can also be influenced by working capital needs associated with the various types of services that we provide. In particular, working capital needs may increase when we commence large volumes of work under circumstances where project costs – primarily associated with labor, equipment, and subcontractors –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$2.54 billion during the first nine months of 2026 compared to $717.8 million during the same period in 2025. The $1.82 billion increase in net cash provided by operating activities was primarily driven by higher earnings before non-cash expenses such as amortization of intangible assets in the current year and a $1.13 billion benefit from changes in billings in excess of costs and estimated earnings and deferred revenue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driven by timing of customer billings and payments, including more net advance payments received in the current year as compared to the prior year. We also had a $876.2 million benefit from increases in accounts payable and other current liabilities driven by the size and timing of payments, including an $80.0 million federal tax payment in the first quarter of 2025 that otherwise would have been paid in the second half of 2024, as a result of tax relief from the IRS due to Hurricane Beryl that did not recur in the current year. Additionally, in 2023, we filed amended federal tax returns for 2019 and 2020 requesting refunds primarily from claiming the R&amp;D tax credit. In July 2026, we received cash refunds totaling $29.8 million, which included $5.3 million (or $4.2 million, net of tax) of interest income. These increases in cash were partially offset by a $788.3 million increase in receivables, net. In 2023, we filed our 2022 federal tax return requesting a refund of our $107.1 million overpayment, which was received in April 2025 and positively impacted the second quarter of 2025 cashflow. Along with the refund, we received $11.3 million (or $8.9 million, net of tax) of interest income that reduced our provision for income taxes in the first quarter of 2025.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Investing Activities</w:t>
      </w:r>
      <w:r>
        <w:rPr>
          <w:rFonts w:ascii="Times New Roman;Times;serif" w:hAnsi="Times New Roman;Times;serif"/>
          <w:sz w:val="20"/>
        </w:rPr>
        <w:t xml:space="preserve">—During the first nine months of 2026, net cash used in investing activities was $788.6 million compared to $236.0 million during the same period in 2025. The $552.6 million increase in net cash used in investing activities was due to higher capital expenditures, primarily attributable to building purchases during the first nine months of 2026 to support growth in our mechanical segment. We expect capital expenditures through the end of 2026 and into 2027 to be higher than previous years as we continue to invest in the growth of our business.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Financing Activities</w:t>
      </w:r>
      <w:r>
        <w:rPr>
          <w:rFonts w:ascii="Times New Roman;Times;serif" w:hAnsi="Times New Roman;Times;serif"/>
          <w:sz w:val="20"/>
        </w:rPr>
        <w:t>—Net cash used in financing activities was $573.7 million for the first nine months of 2026 compared to $171.2 million during the same period in 2025. The $402.4 million increase in net cash used in financing activities was primarily due to an increase in share repurchases of $221.7 million and a decrease in proceeds from revolving credit facility in the current year compared to the same period in 2025. This increase was partially offset by a decrease in payments for contingent consideration arrangements in the current year compared to the same period in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Free Cash Flow</w:t>
      </w:r>
      <w:r>
        <w:rPr>
          <w:rFonts w:ascii="Times New Roman;Times;serif" w:hAnsi="Times New Roman;Times;serif"/>
          <w:sz w:val="20"/>
        </w:rPr>
        <w:t>—We define free cash flow as net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September 30, 2026, we have repurchased a cumulative total of 11.1 million shares at an average price of $80.67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nine months ended September 30, 2026, we repurchased 0.2 million shares for $349.1 million, inclusive of the applicable excise tax, at an average price of $1,643.85 per share.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 xml:space="preserve">Revolving Credit Facility </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September 30, 2026, we had no outstanding borrowings on the revolving credit facility, $86.0 million in letters of credit outstanding, and $1.01 billion of credit available.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two interest rate options for borrowings under the Facility, the Base Rate Loan (as defined in the Facility) option and the Secured Overnight Financing Rate (“SOFR”) Loan option. These interest rates are floating rates determined by the broad financial markets, meaning they can and do move up and down from time to time. Additional margins are then added to these two interest rates.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for certain contracts to guarantee performance and ensure payment to our subcontractors and vendors.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have $86.0 million in letter of credit commitments, of which $69.1 million will expire in 2026 and $16.9 million will expire in 2027.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the next 12 months, we expect nearly all of them, particularly those supporting our insurance programs, will be renewed annually.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Facility contains financial covenants defining various financial measures and the level of these measures with which we must comply. Covenant compliance is assessed as of each quarter end. We were in compliance with all of our financial covenants as of September 30, 2026.</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$49.0 million as of September 30, 2026. On September 30, 2026, future principal payments of notes to former owners by maturity year were as follows (dollars in thousands):</w:t>
      </w:r>
    </w:p>
    <w:tbl>
      <w:tblPr>
        <w:tblW w:w="3876" w:type="dxa"/>
        <w:jc w:val="left"/>
        <w:tblInd w:w="0" w:type="dxa"/>
        <w:tblLayout w:type="fixed"/>
        <w:tblCellMar>
          <w:top w:w="0" w:type="dxa"/>
          <w:left w:w="0" w:type="dxa"/>
          <w:bottom w:w="0" w:type="dxa"/>
          <w:right w:w="0" w:type="dxa"/>
        </w:tblCellMar>
      </w:tblPr>
      <w:tblGrid>
        <w:gridCol w:w="556"/>
        <w:gridCol w:w="346"/>
        <w:gridCol w:w="367"/>
        <w:gridCol w:w="1178"/>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53060" cy="175260"/>
                      <wp:effectExtent l="0" t="0" r="0" b="0"/>
                      <wp:wrapNone/>
                      <wp:docPr id="333" name="Frame333"/>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3045" cy="175260"/>
                      <wp:effectExtent l="0" t="0" r="0" b="0"/>
                      <wp:wrapNone/>
                      <wp:docPr id="335" name="Frame3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48030" cy="175260"/>
                      <wp:effectExtent l="0" t="0" r="0" b="0"/>
                      <wp:wrapNone/>
                      <wp:docPr id="336" name="Frame33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93725" cy="175260"/>
                      <wp:effectExtent l="0" t="0" r="0" b="0"/>
                      <wp:wrapNone/>
                      <wp:docPr id="338" name="Frame33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44475" cy="175260"/>
                      <wp:effectExtent l="0" t="0" r="0" b="0"/>
                      <wp:wrapNone/>
                      <wp:docPr id="339" name="Frame33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4.0 - 4.3</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generated positive net free cash flow for the last 27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Under standard terms in the surety market, sureties issue bonds on a project-by-project basis and can decline to issue bonds at any time. Historically, approximately 10% to 20% of our business has required bonds. While we currently have strong surety relationships to support our bonding needs, future market conditions or changes in the sureties’ assessments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statements and information in this Quarterly Report on Form 10-Q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liquidity needs; our inability to properly 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39" w:name="Item3QuantitativeandQualitativeDisclosur"/>
      <w:bookmarkStart w:id="1540" w:name="_6cf79806_0c8d_4858_8e3b_79c3f527d661"/>
      <w:bookmarkEnd w:id="1539"/>
      <w:bookmarkEnd w:id="154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primarily related to potential adverse changes in interest rates. At times, we use derivative financial instruments to manage our interest rate risk. There is some market risk from fluctuations in the prices of certain commodities and materials due to tariffs or other macroeconomic factors. In many cases, these increased costs are recoverable, and we do not expect these potential cost increases to have a material impact on our results of operations. We are actively involved in monitoring exposure to market risk and continue to develop and utilize appropriate risk management techniques. We are not exposed to any other significant financial market risks or foreign currency exchange risk from the use of derivative financial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outstanding borrowings on the revolving credit facility as of September 30, 2026. </w:t>
      </w:r>
      <w:r>
        <w:rPr>
          <w:rFonts w:ascii="Times New Roman;Times;serif" w:hAnsi="Times New Roman;Times;serif"/>
          <w:sz w:val="20"/>
          <w:shd w:fill="FFFFFF" w:val="clear"/>
        </w:rPr>
        <w:t>The weighted average interest rate applicable to the borrowings under the revolving credit facility was approximately </w:t>
      </w:r>
      <w:r>
        <w:rPr>
          <w:rFonts w:ascii="Times New Roman;Times;serif" w:hAnsi="Times New Roman;Times;serif"/>
          <w:sz w:val="20"/>
        </w:rPr>
        <w:t>5.0</w:t>
      </w:r>
      <w:r>
        <w:rPr>
          <w:rFonts w:ascii="Times New Roman;Times;serif" w:hAnsi="Times New Roman;Times;serif"/>
          <w:sz w:val="20"/>
          <w:shd w:fill="FFFFFF" w:val="clear"/>
        </w:rPr>
        <w:t>% as of December 31, 2025. Our debt with fixed interest rates consists of notes to former owners of acquired companies and acquired notes payable.</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valuation of the Company’s contingent earn-out payments is determined using a probability weighted discounted cash flow method.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 length of earn-out periods, manner of calculating any amounts due, etc.) and utilizes assumptions with regard to future cash flows, probabilities of achieving such future cash flows, and a discount rate.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541" w:name="Item4ControlsandProcedures_993069"/>
      <w:bookmarkStart w:id="1542" w:name="_2c911005_606e_4670_84b2_758fc1a9c4e3"/>
      <w:bookmarkEnd w:id="1541"/>
      <w:bookmarkEnd w:id="1542"/>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Rules 13a-15(e) and 15d-15(e) of the Securities Exchange Act of 1934) were effective as of the end of the period covered by this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Securities Exchange Act of 1934) during the three months ended September 30, 2026 that have materially affected, or are reasonably likely to materially affect, our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bookmarkStart w:id="1543" w:name="PARTIIOTHERINFORMATION_876059"/>
      <w:bookmarkStart w:id="1544" w:name="_795a439f_827f_42ea_bc23_fe6d557b9994"/>
      <w:bookmarkEnd w:id="1543"/>
      <w:bookmarkEnd w:id="1544"/>
      <w:r>
        <w:rPr>
          <w:rFonts w:ascii="Times New Roman;Times;serif" w:hAnsi="Times New Roman;Times;serif"/>
          <w:b/>
          <w:sz w:val="20"/>
        </w:rPr>
        <w:t>PART II—OTHER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545" w:name="Item1LegalProceedings_592048"/>
      <w:bookmarkEnd w:id="1545"/>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546" w:name="Item1ARiskFactors_3757"/>
      <w:bookmarkStart w:id="1547" w:name="_ec28fc34_afea_4bf3_af4a_436cedc59775"/>
      <w:bookmarkEnd w:id="1546"/>
      <w:bookmarkEnd w:id="1547"/>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1, “Item 1A. Risk Factors” in our Form 10-K for the year ended December 31, 2025, which could materially affect our business, financial condition, or future results.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48" w:name="Item2UnregisteredSalesofEquitySecurities"/>
      <w:bookmarkStart w:id="1549" w:name="_ebce02b9_4e98_49bb_8922_221c459381e7"/>
      <w:bookmarkEnd w:id="1548"/>
      <w:bookmarkEnd w:id="1549"/>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September 30, 2026, we have repurchased a cumulative total of 11.1 million shares at an average price of $80.67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nine months ended September 30, 2026, we repurchased 0.2 million shares for $349.1 million, inclusive of the applicable excise tax, at an average price of $1,643.85 per share.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September 30, 2026, we purchased shares of our common stock in the following amounts at the following average prices:</w:t>
      </w:r>
    </w:p>
    <w:p>
      <w:pPr>
        <w:pStyle w:val="TextBody"/>
        <w:bidi w:val="0"/>
        <w:spacing w:before="0" w:after="0"/>
        <w:ind w:left="0" w:right="0" w:hanging="0"/>
        <w:jc w:val="left"/>
        <w:rPr/>
      </w:pPr>
      <w:r>
        <w:rPr/>
        <w:t>​</w:t>
      </w:r>
    </w:p>
    <w:tbl>
      <w:tblPr>
        <w:tblW w:w="10434" w:type="dxa"/>
        <w:jc w:val="left"/>
        <w:tblInd w:w="0" w:type="dxa"/>
        <w:tblLayout w:type="fixed"/>
        <w:tblCellMar>
          <w:top w:w="0" w:type="dxa"/>
          <w:left w:w="0" w:type="dxa"/>
          <w:bottom w:w="0" w:type="dxa"/>
          <w:right w:w="0" w:type="dxa"/>
        </w:tblCellMar>
      </w:tblPr>
      <w:tblGrid>
        <w:gridCol w:w="2386"/>
        <w:gridCol w:w="346"/>
        <w:gridCol w:w="1381"/>
        <w:gridCol w:w="346"/>
        <w:gridCol w:w="244"/>
        <w:gridCol w:w="957"/>
        <w:gridCol w:w="346"/>
        <w:gridCol w:w="1981"/>
        <w:gridCol w:w="346"/>
        <w:gridCol w:w="210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515110" cy="175260"/>
                      <wp:effectExtent l="0" t="0" r="0" b="0"/>
                      <wp:wrapNone/>
                      <wp:docPr id="340" name="Frame34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876935" cy="175260"/>
                      <wp:effectExtent l="0" t="0" r="0" b="0"/>
                      <wp:wrapNone/>
                      <wp:docPr id="342" name="Frame34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4940" cy="175260"/>
                      <wp:effectExtent l="0" t="0" r="0" b="0"/>
                      <wp:wrapNone/>
                      <wp:docPr id="344" name="Frame34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07695" cy="175260"/>
                      <wp:effectExtent l="0" t="0" r="0" b="0"/>
                      <wp:wrapNone/>
                      <wp:docPr id="345" name="Frame34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57935" cy="175260"/>
                      <wp:effectExtent l="0" t="0" r="0" b="0"/>
                      <wp:wrapNone/>
                      <wp:docPr id="347" name="Frame347"/>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4135" cy="175260"/>
                      <wp:effectExtent l="0" t="0" r="0" b="0"/>
                      <wp:wrapNone/>
                      <wp:docPr id="349" name="Frame349"/>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0"/>
              <w:ind w:left="0" w:right="0" w:hanging="0"/>
              <w:jc w:val="left"/>
              <w:rPr/>
            </w:pPr>
            <w:r>
              <w:rPr/>
              <w:t>  ​ ​ ​</w:t>
            </w:r>
          </w:p>
        </w:tc>
        <w:tc>
          <w:tcPr>
            <w:tcW w:w="21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 Yet Be</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Plans</w:t>
            </w:r>
          </w:p>
        </w:tc>
        <w:tc>
          <w:tcPr>
            <w:tcW w:w="34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 (1)</w:t>
            </w:r>
          </w:p>
        </w:tc>
        <w:tc>
          <w:tcPr>
            <w:tcW w:w="346" w:type="dxa"/>
            <w:tcBorders/>
            <w:vAlign w:val="center"/>
          </w:tcPr>
          <w:p>
            <w:pPr>
              <w:pStyle w:val="TableContents"/>
              <w:bidi w:val="0"/>
              <w:spacing w:before="0" w:after="0"/>
              <w:ind w:left="0" w:right="0" w:hanging="0"/>
              <w:jc w:val="left"/>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1,668.30</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10,950,578</w:t>
            </w:r>
          </w:p>
        </w:tc>
        <w:tc>
          <w:tcPr>
            <w:tcW w:w="346" w:type="dxa"/>
            <w:tcBorders/>
            <w:shd w:fill="CCEEFF" w:val="clear"/>
            <w:vAlign w:val="center"/>
          </w:tcPr>
          <w:p>
            <w:pPr>
              <w:pStyle w:val="TableContents"/>
              <w:bidi w:val="0"/>
              <w:spacing w:before="0" w:after="0"/>
              <w:ind w:left="0" w:right="0" w:hanging="0"/>
              <w:jc w:val="left"/>
              <w:rPr/>
            </w:pPr>
            <w:r>
              <w:rPr/>
              <w:t> </w:t>
            </w:r>
          </w:p>
        </w:tc>
        <w:tc>
          <w:tcPr>
            <w:tcW w:w="2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807,386</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100,487</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1,664.06</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11,051,065</w:t>
            </w:r>
          </w:p>
        </w:tc>
        <w:tc>
          <w:tcPr>
            <w:tcW w:w="3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706,899</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39,985</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1,582.00</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11,091,050</w:t>
            </w:r>
          </w:p>
        </w:tc>
        <w:tc>
          <w:tcPr>
            <w:tcW w:w="346" w:type="dxa"/>
            <w:tcBorders/>
            <w:shd w:fill="CCEEFF" w:val="clear"/>
            <w:vAlign w:val="center"/>
          </w:tcPr>
          <w:p>
            <w:pPr>
              <w:pStyle w:val="TableContents"/>
              <w:bidi w:val="0"/>
              <w:spacing w:before="0" w:after="0"/>
              <w:ind w:left="0" w:right="0" w:hanging="0"/>
              <w:jc w:val="left"/>
              <w:rPr/>
            </w:pPr>
            <w:r>
              <w:rPr/>
              <w:t> </w:t>
            </w:r>
          </w:p>
        </w:tc>
        <w:tc>
          <w:tcPr>
            <w:tcW w:w="2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666,914</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206,672</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1,649.54</w:t>
            </w:r>
          </w:p>
        </w:tc>
        <w:tc>
          <w:tcPr>
            <w:tcW w:w="346" w:type="dxa"/>
            <w:tcBorders/>
            <w:vAlign w:val="center"/>
          </w:tcPr>
          <w:p>
            <w:pPr>
              <w:pStyle w:val="TableContents"/>
              <w:bidi w:val="0"/>
              <w:spacing w:before="0" w:after="0"/>
              <w:ind w:left="0" w:right="0" w:hanging="0"/>
              <w:jc w:val="left"/>
              <w:rPr/>
            </w:pPr>
            <w:r>
              <w:rPr/>
              <w:t> </w:t>
            </w:r>
          </w:p>
        </w:tc>
        <w:tc>
          <w:tcPr>
            <w:tcW w:w="1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11,091,050</w:t>
            </w:r>
          </w:p>
        </w:tc>
        <w:tc>
          <w:tcPr>
            <w:tcW w:w="346" w:type="dxa"/>
            <w:tcBorders/>
            <w:vAlign w:val="center"/>
          </w:tcPr>
          <w:p>
            <w:pPr>
              <w:pStyle w:val="TableContents"/>
              <w:bidi w:val="0"/>
              <w:spacing w:before="0" w:after="0"/>
              <w:ind w:left="0" w:right="0" w:hanging="0"/>
              <w:jc w:val="left"/>
              <w:rPr/>
            </w:pPr>
            <w:r>
              <w:rPr/>
              <w:t> </w:t>
            </w:r>
          </w:p>
        </w:tc>
        <w:tc>
          <w:tcPr>
            <w:tcW w:w="210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666,914</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 part of a stock repurchase program announced on March 29, 2007, under which, since the inception of this program, 11.8 million shares have been approved for repurchase.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stock incentive plans,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550" w:name="Other_Information"/>
      <w:bookmarkStart w:id="1551" w:name="_924eca28_8406_4994_94a9_5ac36ddaea90"/>
      <w:bookmarkStart w:id="1552" w:name="Item5OtherInformation"/>
      <w:bookmarkEnd w:id="1550"/>
      <w:bookmarkEnd w:id="1551"/>
      <w:bookmarkEnd w:id="1552"/>
      <w:r>
        <w:rPr>
          <w:rFonts w:ascii="Times New Roman;Times;serif" w:hAnsi="Times New Roman;Times;serif"/>
          <w:b/>
          <w:sz w:val="20"/>
        </w:rPr>
        <w:t xml:space="preserve">Item 5. </w:t>
      </w:r>
      <w:r>
        <w:rPr>
          <w:rFonts w:ascii="Times New Roman;Times;serif" w:hAnsi="Times New Roman;Times;serif"/>
          <w:b/>
          <w:i/>
          <w:sz w:val="20"/>
        </w:rPr>
        <w:t>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Trading Plans of Directors and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2026, no directors or officers of the Company adopted or terminated a “Rule 10b5-1 trading arrangement” or “non-Rule 10b5-1 trading arrangement,” as defined in Item 408(a) and (c) of Regulation S-K.</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53" w:name="Item6Exhibits_786371"/>
      <w:bookmarkStart w:id="1554" w:name="_6f5c502a_803b_4d5c_9f8e_9a7aa958854c"/>
      <w:bookmarkEnd w:id="1553"/>
      <w:bookmarkEnd w:id="1554"/>
      <w:r>
        <w:rPr>
          <w:rFonts w:ascii="Times New Roman;Times;serif" w:hAnsi="Times New Roman;Times;serif"/>
          <w:b/>
          <w:sz w:val="20"/>
        </w:rPr>
        <w:t xml:space="preserve">Item 6. </w:t>
      </w:r>
      <w:r>
        <w:rPr>
          <w:rFonts w:ascii="Times New Roman;Times;serif" w:hAnsi="Times New Roman;Times;serif"/>
          <w:b/>
          <w:i/>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7"/>
        <w:gridCol w:w="346"/>
        <w:gridCol w:w="6269"/>
        <w:gridCol w:w="346"/>
        <w:gridCol w:w="691"/>
        <w:gridCol w:w="346"/>
        <w:gridCol w:w="1320"/>
      </w:tblGrid>
      <w:tr>
        <w:trPr/>
        <w:tc>
          <w:tcPr>
            <w:tcW w:w="88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26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20" w:type="dxa"/>
            <w:tcBorders/>
            <w:vAlign w:val="center"/>
          </w:tcPr>
          <w:p>
            <w:pPr>
              <w:pStyle w:val="TableContents"/>
              <w:bidi w:val="0"/>
              <w:spacing w:before="0" w:after="283"/>
              <w:ind w:left="0" w:right="0" w:hanging="0"/>
              <w:jc w:val="left"/>
              <w:rPr>
                <w:sz w:val="4"/>
                <w:szCs w:val="4"/>
              </w:rPr>
            </w:pPr>
            <w:r>
              <w:rPr>
                <w:sz w:val="4"/>
                <w:szCs w:val="4"/>
              </w:rPr>
            </w:r>
          </w:p>
        </w:tc>
      </w:tr>
      <w:tr>
        <w:trPr/>
        <w:tc>
          <w:tcPr>
            <w:tcW w:w="887"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6269"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2357" w:type="dxa"/>
            <w:gridSpan w:val="3"/>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88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626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vAlign w:val="center"/>
          </w:tcPr>
          <w:p>
            <w:pPr>
              <w:pStyle w:val="TableContents"/>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1320"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w:t>
              <w:br/>
              <w:t>File Number</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Registrant</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333-24021</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dated May 21, 1998</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1998 Form 10-K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dated July 9, 2003</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2003 Form 10-K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dated May 20, 2016</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May 20,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Comfort Systems USA, Inc.</w:t>
              </w:r>
            </w:hyperlink>
          </w:p>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25,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Filed herewith.</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5" w:name="SIGNATURES_727857"/>
      <w:bookmarkStart w:id="1556" w:name="_9a464d26_37e2_4d1d_84b9_aeeedc467fca"/>
      <w:bookmarkEnd w:id="1555"/>
      <w:bookmarkEnd w:id="155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6438" w:type="dxa"/>
        <w:jc w:val="left"/>
        <w:tblInd w:w="0" w:type="dxa"/>
        <w:tblLayout w:type="fixed"/>
        <w:tblCellMar>
          <w:top w:w="0" w:type="dxa"/>
          <w:left w:w="0" w:type="dxa"/>
          <w:bottom w:w="0" w:type="dxa"/>
          <w:right w:w="0" w:type="dxa"/>
        </w:tblCellMar>
      </w:tblPr>
      <w:tblGrid>
        <w:gridCol w:w="1531"/>
        <w:gridCol w:w="406"/>
        <w:gridCol w:w="4501"/>
      </w:tblGrid>
      <w:tr>
        <w:trPr/>
        <w:tc>
          <w:tcPr>
            <w:tcW w:w="15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907"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Comfort Systems USA, Inc.</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5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Brian E. Lane</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 and Director</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53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William George</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5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Julie S. Shaeff</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Julie S. Shaeff</w:t>
            </w:r>
          </w:p>
        </w:tc>
      </w:tr>
      <w:tr>
        <w:trPr/>
        <w:tc>
          <w:tcPr>
            <w:tcW w:w="15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Accounting Officer</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240"/>
        <w:ind w:left="0" w:right="0" w:hanging="0"/>
        <w:jc w:val="right"/>
        <w:rPr>
          <w:rFonts w:ascii="Times New Roman;Times;serif" w:hAnsi="Times New Roman;Times;serif"/>
          <w:b/>
          <w:sz w:val="20"/>
        </w:rPr>
      </w:pPr>
      <w:bookmarkStart w:id="1557" w:name="fix-ex31d1.htm"/>
      <w:bookmarkStart w:id="1558" w:name="ksfixex31d1"/>
      <w:bookmarkEnd w:id="1557"/>
      <w:bookmarkEnd w:id="1558"/>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 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Brian E. Lane,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067" w:type="dxa"/>
        <w:jc w:val="center"/>
        <w:tblInd w:w="0" w:type="dxa"/>
        <w:tblLayout w:type="fixed"/>
        <w:tblCellMar>
          <w:top w:w="0" w:type="dxa"/>
          <w:left w:w="0" w:type="dxa"/>
          <w:bottom w:w="0" w:type="dxa"/>
          <w:right w:w="0" w:type="dxa"/>
        </w:tblCellMar>
      </w:tblPr>
      <w:tblGrid>
        <w:gridCol w:w="2011"/>
        <w:gridCol w:w="2056"/>
      </w:tblGrid>
      <w:tr>
        <w:trPr/>
        <w:tc>
          <w:tcPr>
            <w:tcW w:w="2011"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05560" cy="175260"/>
                      <wp:effectExtent l="0" t="0" r="0" b="0"/>
                      <wp:wrapNone/>
                      <wp:docPr id="350" name="Frame350"/>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tc>
        <w:tc>
          <w:tcPr>
            <w:tcW w:w="2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559" w:name="fix-ex31d2.htm"/>
      <w:bookmarkStart w:id="1560" w:name="ksfixex31d2"/>
      <w:bookmarkEnd w:id="1559"/>
      <w:bookmarkEnd w:id="1560"/>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William George,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6512" w:type="dxa"/>
        <w:jc w:val="center"/>
        <w:tblInd w:w="0" w:type="dxa"/>
        <w:tblLayout w:type="fixed"/>
        <w:tblCellMar>
          <w:top w:w="0" w:type="dxa"/>
          <w:left w:w="0" w:type="dxa"/>
          <w:bottom w:w="0" w:type="dxa"/>
          <w:right w:w="0" w:type="dxa"/>
        </w:tblCellMar>
      </w:tblPr>
      <w:tblGrid>
        <w:gridCol w:w="2011"/>
        <w:gridCol w:w="4501"/>
      </w:tblGrid>
      <w:tr>
        <w:trPr/>
        <w:tc>
          <w:tcPr>
            <w:tcW w:w="2011"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561" w:name="fix-ex32d1.htm"/>
      <w:bookmarkStart w:id="1562" w:name="ksfixex32d1"/>
      <w:bookmarkEnd w:id="1561"/>
      <w:bookmarkEnd w:id="1562"/>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September 30, 2026, as filed with the Securities and Exchange Commission on the date hereof (the “Report”), I, Brian E. Lane, Chief Executive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4067" w:type="dxa"/>
        <w:jc w:val="center"/>
        <w:tblInd w:w="0" w:type="dxa"/>
        <w:tblLayout w:type="fixed"/>
        <w:tblCellMar>
          <w:top w:w="0" w:type="dxa"/>
          <w:left w:w="0" w:type="dxa"/>
          <w:bottom w:w="0" w:type="dxa"/>
          <w:right w:w="0" w:type="dxa"/>
        </w:tblCellMar>
      </w:tblPr>
      <w:tblGrid>
        <w:gridCol w:w="2011"/>
        <w:gridCol w:w="2056"/>
      </w:tblGrid>
      <w:tr>
        <w:trPr/>
        <w:tc>
          <w:tcPr>
            <w:tcW w:w="2011"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tc>
        <w:tc>
          <w:tcPr>
            <w:tcW w:w="205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2056" w:type="dxa"/>
            <w:tcBorders>
              <w:top w:val="single" w:sz="8"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563" w:name="fix-ex32d2.htm"/>
      <w:bookmarkStart w:id="1564" w:name="ksfixex32d2"/>
      <w:bookmarkEnd w:id="1563"/>
      <w:bookmarkEnd w:id="1564"/>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September 30, 2026,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6512" w:type="dxa"/>
        <w:jc w:val="center"/>
        <w:tblInd w:w="0" w:type="dxa"/>
        <w:tblLayout w:type="fixed"/>
        <w:tblCellMar>
          <w:top w:w="0" w:type="dxa"/>
          <w:left w:w="0" w:type="dxa"/>
          <w:bottom w:w="0" w:type="dxa"/>
          <w:right w:w="0" w:type="dxa"/>
        </w:tblCellMar>
      </w:tblPr>
      <w:tblGrid>
        <w:gridCol w:w="2011"/>
        <w:gridCol w:w="4501"/>
      </w:tblGrid>
      <w:tr>
        <w:trPr/>
        <w:tc>
          <w:tcPr>
            <w:tcW w:w="2011"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5983/0000890566-97-001319.txt" TargetMode="External"/><Relationship Id="rId3" Type="http://schemas.openxmlformats.org/officeDocument/2006/relationships/hyperlink" Target="http://www.sec.gov/Archives/edgar/data/1035983/0000890566-99-000401.txt" TargetMode="External"/><Relationship Id="rId4" Type="http://schemas.openxmlformats.org/officeDocument/2006/relationships/hyperlink" Target="http://www.sec.gov/Archives/edgar/data/1035983/000104746904005828/a2129426zex-3_3.htm" TargetMode="External"/><Relationship Id="rId5" Type="http://schemas.openxmlformats.org/officeDocument/2006/relationships/hyperlink" Target="http://www.sec.gov/Archives/edgar/data/1035983/000110465916122345/a16-10750_2ex3d1.htm" TargetMode="External"/><Relationship Id="rId6" Type="http://schemas.openxmlformats.org/officeDocument/2006/relationships/hyperlink" Target="http://www.sec.gov/Archives/edgar/data/1035983/000110465916107645/a16-7178_1ex3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21344</Words>
  <Characters>117942</Characters>
  <CharactersWithSpaces>141439</CharactersWithSpaces>
  <Paragraphs>6331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