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386080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66675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ANNUAL REPORT PURSUANT TO SECTION 13 OR 15(d) OF THE</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2018</w:t>
      </w:r>
    </w:p>
    <w:p>
      <w:pPr>
        <w:spacing w:after="0" w:line="56" w:lineRule="exact"/>
        <w:rPr>
          <w:sz w:val="24"/>
          <w:szCs w:val="24"/>
          <w:color w:val="auto"/>
        </w:rPr>
      </w:pPr>
    </w:p>
    <w:p>
      <w:pPr>
        <w:jc w:val="center"/>
        <w:ind w:right="-59"/>
        <w:spacing w:after="0" w:line="184" w:lineRule="exact"/>
        <w:rPr>
          <w:sz w:val="20"/>
          <w:szCs w:val="20"/>
          <w:color w:val="auto"/>
        </w:rPr>
      </w:pPr>
      <w:r>
        <w:rPr>
          <w:rFonts w:ascii="Times New Roman" w:cs="Times New Roman" w:eastAsia="Times New Roman" w:hAnsi="Times New Roman"/>
          <w:sz w:val="16"/>
          <w:szCs w:val="16"/>
          <w:b w:val="1"/>
          <w:bCs w:val="1"/>
          <w:color w:val="auto"/>
        </w:rPr>
        <w:t>Commission file number: 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13011</w:t>
      </w:r>
    </w:p>
    <w:p>
      <w:pPr>
        <w:spacing w:after="0" w:line="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Comfort Systems USA,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320"/>
          </w:cols>
          <w:pgMar w:left="760" w:top="229" w:right="819" w:bottom="1440" w:gutter="0" w:footer="0" w:header="0"/>
        </w:sectPr>
      </w:pPr>
    </w:p>
    <w:p>
      <w:pPr>
        <w:spacing w:after="0" w:line="9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jc w:val="center"/>
        <w:ind w:right="1920"/>
        <w:spacing w:after="0" w:line="184" w:lineRule="exact"/>
        <w:rPr>
          <w:sz w:val="20"/>
          <w:szCs w:val="20"/>
          <w:color w:val="auto"/>
        </w:rPr>
      </w:pPr>
      <w:r>
        <w:rPr>
          <w:rFonts w:ascii="Times New Roman" w:cs="Times New Roman" w:eastAsia="Times New Roman" w:hAnsi="Times New Roman"/>
          <w:sz w:val="16"/>
          <w:szCs w:val="16"/>
          <w:b w:val="1"/>
          <w:bCs w:val="1"/>
          <w:color w:val="auto"/>
        </w:rPr>
        <w:t>76</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0526487</w:t>
      </w:r>
    </w:p>
    <w:p>
      <w:pPr>
        <w:spacing w:after="0" w:line="6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6"/>
          <w:szCs w:val="16"/>
          <w:color w:val="auto"/>
        </w:rPr>
        <w:t>(I.R.S. Employer</w:t>
      </w:r>
    </w:p>
    <w:p>
      <w:pPr>
        <w:spacing w:after="0" w:line="8"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0" w:lineRule="exact"/>
        <w:rPr>
          <w:sz w:val="24"/>
          <w:szCs w:val="24"/>
          <w:color w:val="auto"/>
        </w:rPr>
      </w:pPr>
    </w:p>
    <w:p>
      <w:pPr>
        <w:sectPr>
          <w:pgSz w:w="11900" w:h="16838" w:orient="portrait"/>
          <w:cols w:equalWidth="0" w:num="2">
            <w:col w:w="6480" w:space="720"/>
            <w:col w:w="3120"/>
          </w:cols>
          <w:pgMar w:left="760" w:top="229" w:right="8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675 Bering Drive</w:t>
      </w:r>
    </w:p>
    <w:p>
      <w:pPr>
        <w:spacing w:after="0" w:line="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Suite 400</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Houston, Texas 77057</w:t>
      </w:r>
    </w:p>
    <w:p>
      <w:pPr>
        <w:spacing w:after="0" w:line="19" w:lineRule="exact"/>
        <w:rPr>
          <w:sz w:val="24"/>
          <w:szCs w:val="24"/>
          <w:color w:val="auto"/>
        </w:rPr>
      </w:pPr>
    </w:p>
    <w:p>
      <w:pPr>
        <w:jc w:val="center"/>
        <w:ind w:right="-79"/>
        <w:spacing w:after="0" w:line="184" w:lineRule="exact"/>
        <w:rPr>
          <w:sz w:val="20"/>
          <w:szCs w:val="20"/>
          <w:color w:val="auto"/>
        </w:rPr>
      </w:pPr>
      <w:r>
        <w:rPr>
          <w:rFonts w:ascii="Times New Roman" w:cs="Times New Roman" w:eastAsia="Times New Roman" w:hAnsi="Times New Roman"/>
          <w:sz w:val="16"/>
          <w:szCs w:val="16"/>
          <w:b w:val="1"/>
          <w:bCs w:val="1"/>
          <w:color w:val="auto"/>
        </w:rPr>
        <w:t>(713) 830</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9600</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(Address and telephone number of Principal Executive Offices)</w:t>
      </w:r>
    </w:p>
    <w:p>
      <w:pPr>
        <w:spacing w:after="0" w:line="68"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4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20" w:type="dxa"/>
            <w:vAlign w:val="bottom"/>
          </w:tcPr>
          <w:p>
            <w:pPr>
              <w:spacing w:after="0"/>
              <w:rPr>
                <w:sz w:val="18"/>
                <w:szCs w:val="18"/>
                <w:color w:val="auto"/>
              </w:rPr>
            </w:pPr>
          </w:p>
        </w:tc>
      </w:tr>
      <w:tr>
        <w:trPr>
          <w:trHeight w:val="284"/>
        </w:trPr>
        <w:tc>
          <w:tcPr>
            <w:tcW w:w="400" w:type="dxa"/>
            <w:vAlign w:val="bottom"/>
          </w:tcPr>
          <w:p>
            <w:pPr>
              <w:spacing w:after="0"/>
              <w:rPr>
                <w:sz w:val="24"/>
                <w:szCs w:val="24"/>
                <w:color w:val="auto"/>
              </w:rPr>
            </w:pPr>
          </w:p>
        </w:tc>
        <w:tc>
          <w:tcPr>
            <w:tcW w:w="4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00" w:type="dxa"/>
            <w:vAlign w:val="bottom"/>
          </w:tcPr>
          <w:p>
            <w:pPr>
              <w:spacing w:after="0"/>
              <w:rPr>
                <w:sz w:val="18"/>
                <w:szCs w:val="18"/>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$.01 par value</w:t>
            </w:r>
          </w:p>
        </w:tc>
        <w:tc>
          <w:tcPr>
            <w:tcW w:w="140" w:type="dxa"/>
            <w:vAlign w:val="bottom"/>
          </w:tcPr>
          <w:p>
            <w:pPr>
              <w:spacing w:after="0"/>
              <w:rPr>
                <w:sz w:val="18"/>
                <w:szCs w:val="18"/>
                <w:color w:val="auto"/>
              </w:rPr>
            </w:pPr>
          </w:p>
        </w:tc>
        <w:tc>
          <w:tcPr>
            <w:tcW w:w="4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83"/>
        </w:trPr>
        <w:tc>
          <w:tcPr>
            <w:tcW w:w="4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4020" w:type="dxa"/>
            <w:vAlign w:val="bottom"/>
          </w:tcPr>
          <w:p>
            <w:pPr>
              <w:spacing w:after="0"/>
              <w:rPr>
                <w:sz w:val="24"/>
                <w:szCs w:val="24"/>
                <w:color w:val="auto"/>
              </w:rPr>
            </w:pPr>
          </w:p>
        </w:tc>
      </w:tr>
    </w:tbl>
    <w:p>
      <w:pPr>
        <w:spacing w:after="0" w:line="34" w:lineRule="exact"/>
        <w:rPr>
          <w:sz w:val="24"/>
          <w:szCs w:val="24"/>
          <w:color w:val="auto"/>
        </w:rPr>
      </w:pPr>
    </w:p>
    <w:p>
      <w:pPr>
        <w:ind w:left="640" w:right="1140"/>
        <w:spacing w:after="0" w:line="263" w:lineRule="exact"/>
        <w:rPr>
          <w:sz w:val="20"/>
          <w:szCs w:val="20"/>
          <w:color w:val="auto"/>
        </w:rPr>
      </w:pPr>
      <w:r>
        <w:rPr>
          <w:rFonts w:ascii="Times New Roman" w:cs="Times New Roman" w:eastAsia="Times New Roman" w:hAnsi="Times New Roman"/>
          <w:sz w:val="16"/>
          <w:szCs w:val="16"/>
          <w:color w:val="auto"/>
        </w:rPr>
        <w:t>Indicate by check mark if the registrant is a well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right="200"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right="60" w:firstLine="648"/>
        <w:spacing w:after="0" w:line="211"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right="60" w:firstLine="648"/>
        <w:spacing w:after="0" w:line="211" w:lineRule="exact"/>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or any amendment to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K. </w:t>
      </w:r>
      <w:r>
        <w:rPr>
          <w:rFonts w:ascii="MS PGothic" w:cs="MS PGothic" w:eastAsia="MS PGothic" w:hAnsi="MS PGothic"/>
          <w:sz w:val="16"/>
          <w:szCs w:val="16"/>
          <w:color w:val="auto"/>
        </w:rPr>
        <w:t>☐</w:t>
      </w:r>
    </w:p>
    <w:p>
      <w:pPr>
        <w:spacing w:after="0" w:line="56" w:lineRule="exact"/>
        <w:rPr>
          <w:sz w:val="24"/>
          <w:szCs w:val="24"/>
          <w:color w:val="auto"/>
        </w:rPr>
      </w:pPr>
    </w:p>
    <w:p>
      <w:pPr>
        <w:ind w:right="40"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p>
      <w:pPr>
        <w:ind w:left="220"/>
        <w:spacing w:after="0" w:line="184" w:lineRule="exact"/>
        <w:tabs>
          <w:tab w:leader="none" w:pos="2340" w:val="left"/>
          <w:tab w:leader="none" w:pos="4100" w:val="left"/>
          <w:tab w:leader="none" w:pos="6040" w:val="left"/>
          <w:tab w:leader="none" w:pos="82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20"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640"/>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firstLine="648"/>
        <w:spacing w:after="0" w:line="220" w:lineRule="exact"/>
        <w:rPr>
          <w:sz w:val="20"/>
          <w:szCs w:val="20"/>
          <w:color w:val="auto"/>
        </w:rPr>
      </w:pPr>
      <w:r>
        <w:rPr>
          <w:rFonts w:ascii="Times New Roman" w:cs="Times New Roman" w:eastAsia="Times New Roman" w:hAnsi="Times New Roman"/>
          <w:sz w:val="16"/>
          <w:szCs w:val="16"/>
          <w:color w:val="auto"/>
        </w:rPr>
        <w:t>The aggregate market value of the voting stock held by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affiliates of the registrant at June 29, 2018 was approximately $1.67 billion, based on the $45.80 last sale price of the registrant’s common stock on the New York Stock Exchange on June 29, 2018.</w:t>
      </w:r>
    </w:p>
    <w:p>
      <w:pPr>
        <w:spacing w:after="0" w:line="60" w:lineRule="exact"/>
        <w:rPr>
          <w:sz w:val="24"/>
          <w:szCs w:val="24"/>
          <w:color w:val="auto"/>
        </w:rPr>
      </w:pPr>
    </w:p>
    <w:p>
      <w:pPr>
        <w:jc w:val="center"/>
        <w:ind w:right="180"/>
        <w:spacing w:after="0" w:line="361" w:lineRule="auto"/>
        <w:rPr>
          <w:sz w:val="20"/>
          <w:szCs w:val="20"/>
          <w:color w:val="auto"/>
        </w:rPr>
      </w:pPr>
      <w:r>
        <w:rPr>
          <w:rFonts w:ascii="Times New Roman" w:cs="Times New Roman" w:eastAsia="Times New Roman" w:hAnsi="Times New Roman"/>
          <w:sz w:val="16"/>
          <w:szCs w:val="16"/>
          <w:color w:val="auto"/>
        </w:rPr>
        <w:t xml:space="preserve">As of February 15, 2019, 36,869,712 shares of the registrant’s common stock were outstanding (excluding treasury shares of 4,253,653). </w:t>
      </w:r>
      <w:r>
        <w:rPr>
          <w:rFonts w:ascii="Times New Roman" w:cs="Times New Roman" w:eastAsia="Times New Roman" w:hAnsi="Times New Roman"/>
          <w:sz w:val="16"/>
          <w:szCs w:val="16"/>
          <w:b w:val="1"/>
          <w:bCs w:val="1"/>
          <w:color w:val="auto"/>
        </w:rPr>
        <w:t>DOCUMENTS INCORPORATED BY REFERENCE</w:t>
      </w:r>
    </w:p>
    <w:p>
      <w:pPr>
        <w:ind w:right="600" w:firstLine="648"/>
        <w:spacing w:after="0" w:line="298" w:lineRule="auto"/>
        <w:rPr>
          <w:sz w:val="20"/>
          <w:szCs w:val="20"/>
          <w:color w:val="auto"/>
        </w:rPr>
      </w:pPr>
      <w:r>
        <w:rPr>
          <w:rFonts w:ascii="Times New Roman" w:cs="Times New Roman" w:eastAsia="Times New Roman" w:hAnsi="Times New Roman"/>
          <w:sz w:val="16"/>
          <w:szCs w:val="16"/>
          <w:color w:val="auto"/>
        </w:rPr>
        <w:t>The information required by Part III (other than the required information regarding executive officers) is incorporated by reference from the registrant’s definitive proxy statement, which will be filed with the Commission not later than 120 days following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53340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353060</wp:posOffset>
            </wp:positionV>
            <wp:extent cx="66122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760" w:top="229" w:right="8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00" w:type="dxa"/>
            <w:vAlign w:val="bottom"/>
            <w:gridSpan w:val="20"/>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520" w:type="dxa"/>
            <w:vAlign w:val="bottom"/>
            <w:vMerge w:val="restart"/>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80" w:type="dxa"/>
            <w:vAlign w:val="bottom"/>
            <w:vMerge w:val="restart"/>
          </w:tcPr>
          <w:p>
            <w:pPr>
              <w:spacing w:after="0"/>
              <w:rPr>
                <w:sz w:val="24"/>
                <w:szCs w:val="24"/>
                <w:color w:val="auto"/>
              </w:rPr>
            </w:pPr>
          </w:p>
        </w:tc>
        <w:tc>
          <w:tcPr>
            <w:tcW w:w="3720" w:type="dxa"/>
            <w:vAlign w:val="bottom"/>
            <w:gridSpan w:val="18"/>
            <w:vMerge w:val="restart"/>
          </w:tcPr>
          <w:p>
            <w:pPr>
              <w:ind w:left="4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4040" w:type="dxa"/>
            <w:vAlign w:val="bottom"/>
            <w:gridSpan w:val="13"/>
          </w:tcPr>
          <w:p>
            <w:pPr>
              <w:jc w:val="center"/>
              <w:ind w:right="3660"/>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Part I</w:t>
              </w:r>
            </w:hyperlink>
          </w:p>
        </w:tc>
        <w:tc>
          <w:tcPr>
            <w:tcW w:w="0" w:type="dxa"/>
            <w:vAlign w:val="bottom"/>
          </w:tcPr>
          <w:p>
            <w:pPr>
              <w:spacing w:after="0"/>
              <w:rPr>
                <w:sz w:val="1"/>
                <w:szCs w:val="1"/>
                <w:color w:val="auto"/>
              </w:rPr>
            </w:pPr>
          </w:p>
        </w:tc>
      </w:tr>
      <w:tr>
        <w:trPr>
          <w:trHeight w:val="169"/>
        </w:trPr>
        <w:tc>
          <w:tcPr>
            <w:tcW w:w="5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720" w:type="dxa"/>
            <w:vAlign w:val="bottom"/>
            <w:gridSpan w:val="18"/>
            <w:vMerge w:val="continue"/>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87"/>
              </w:rPr>
            </w:pPr>
            <w:hyperlink w:anchor="page10">
              <w:r>
                <w:rPr>
                  <w:rFonts w:ascii="Times New Roman" w:cs="Times New Roman" w:eastAsia="Times New Roman" w:hAnsi="Times New Roman"/>
                  <w:sz w:val="18"/>
                  <w:szCs w:val="18"/>
                  <w:color w:val="0000EE"/>
                  <w:w w:val="87"/>
                </w:rPr>
                <w:t>Item 1A.</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Risk Factors</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Item 1B.</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Unresolved Staff Comments</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Item 2.</w:t>
              </w:r>
            </w:hyperlink>
          </w:p>
        </w:tc>
        <w:tc>
          <w:tcPr>
            <w:tcW w:w="80" w:type="dxa"/>
            <w:vAlign w:val="bottom"/>
          </w:tcPr>
          <w:p>
            <w:pPr>
              <w:spacing w:after="0"/>
              <w:rPr>
                <w:sz w:val="17"/>
                <w:szCs w:val="17"/>
                <w:color w:val="auto"/>
              </w:rPr>
            </w:pPr>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Properties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Item 3.</w:t>
              </w:r>
            </w:hyperlink>
          </w:p>
        </w:tc>
        <w:tc>
          <w:tcPr>
            <w:tcW w:w="80" w:type="dxa"/>
            <w:vAlign w:val="bottom"/>
          </w:tcPr>
          <w:p>
            <w:pPr>
              <w:spacing w:after="0"/>
              <w:rPr>
                <w:sz w:val="17"/>
                <w:szCs w:val="17"/>
                <w:color w:val="auto"/>
              </w:rPr>
            </w:pPr>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Item 4.</w:t>
              </w:r>
            </w:hyperlink>
          </w:p>
        </w:tc>
        <w:tc>
          <w:tcPr>
            <w:tcW w:w="80" w:type="dxa"/>
            <w:vAlign w:val="bottom"/>
          </w:tcPr>
          <w:p>
            <w:pPr>
              <w:spacing w:after="0"/>
              <w:rPr>
                <w:sz w:val="17"/>
                <w:szCs w:val="17"/>
                <w:color w:val="auto"/>
              </w:rPr>
            </w:pPr>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87"/>
              </w:rPr>
            </w:pPr>
            <w:hyperlink w:anchor="page21">
              <w:r>
                <w:rPr>
                  <w:rFonts w:ascii="Times New Roman" w:cs="Times New Roman" w:eastAsia="Times New Roman" w:hAnsi="Times New Roman"/>
                  <w:sz w:val="18"/>
                  <w:szCs w:val="18"/>
                  <w:color w:val="0000EE"/>
                  <w:w w:val="87"/>
                </w:rPr>
                <w:t>Item 4A.</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Executive Officers of the Registrant</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0000EE"/>
            </w:tcBorders>
            <w:gridSpan w:val="4"/>
          </w:tcPr>
          <w:p>
            <w:pPr>
              <w:jc w:val="cente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w:t>
              </w:r>
            </w:hyperlink>
          </w:p>
        </w:tc>
        <w:tc>
          <w:tcPr>
            <w:tcW w:w="36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line="170"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5.</w:t>
              </w:r>
            </w:hyperlink>
          </w:p>
        </w:tc>
        <w:tc>
          <w:tcPr>
            <w:tcW w:w="80" w:type="dxa"/>
            <w:vAlign w:val="bottom"/>
          </w:tcPr>
          <w:p>
            <w:pPr>
              <w:spacing w:after="0"/>
              <w:rPr>
                <w:sz w:val="14"/>
                <w:szCs w:val="14"/>
                <w:color w:val="auto"/>
              </w:rPr>
            </w:pPr>
          </w:p>
        </w:tc>
        <w:tc>
          <w:tcPr>
            <w:tcW w:w="4140" w:type="dxa"/>
            <w:vAlign w:val="bottom"/>
            <w:gridSpan w:val="21"/>
          </w:tcPr>
          <w:p>
            <w:pPr>
              <w:ind w:left="420"/>
              <w:spacing w:after="0" w:line="170"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Market for Registrant’s Common Equity, Related</w:t>
              </w:r>
            </w:hyperlink>
          </w:p>
        </w:tc>
        <w:tc>
          <w:tcPr>
            <w:tcW w:w="3620" w:type="dxa"/>
            <w:vAlign w:val="bottom"/>
            <w:gridSpan w:val="10"/>
          </w:tcPr>
          <w:p>
            <w:pPr>
              <w:spacing w:after="0" w:line="170" w:lineRule="exact"/>
              <w:rPr>
                <w:rFonts w:ascii="Times New Roman" w:cs="Times New Roman" w:eastAsia="Times New Roman" w:hAnsi="Times New Roman"/>
                <w:sz w:val="18"/>
                <w:szCs w:val="18"/>
                <w:color w:val="0000EE"/>
                <w:w w:val="96"/>
              </w:rPr>
            </w:pPr>
            <w:hyperlink w:anchor="page22">
              <w:r>
                <w:rPr>
                  <w:rFonts w:ascii="Times New Roman" w:cs="Times New Roman" w:eastAsia="Times New Roman" w:hAnsi="Times New Roman"/>
                  <w:sz w:val="18"/>
                  <w:szCs w:val="18"/>
                  <w:color w:val="0000EE"/>
                  <w:w w:val="96"/>
                </w:rPr>
                <w:t>Stockholder Matters and Issuer Purchases of Equity</w:t>
              </w:r>
            </w:hyperlink>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vMerge w:val="restart"/>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6.</w:t>
              </w:r>
            </w:hyperlink>
          </w:p>
        </w:tc>
        <w:tc>
          <w:tcPr>
            <w:tcW w:w="8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7060" w:type="dxa"/>
            <w:vAlign w:val="bottom"/>
            <w:tcBorders>
              <w:top w:val="single" w:sz="8" w:color="0000EE"/>
            </w:tcBorders>
            <w:gridSpan w:val="28"/>
          </w:tcPr>
          <w:p>
            <w:pPr>
              <w:spacing w:after="0" w:line="170"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Securities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760" w:type="dxa"/>
            <w:vAlign w:val="bottom"/>
            <w:gridSpan w:val="31"/>
          </w:tcPr>
          <w:p>
            <w:pPr>
              <w:ind w:left="420"/>
              <w:spacing w:after="0" w:line="170"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Selected Financial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7.</w:t>
              </w:r>
            </w:hyperlink>
          </w:p>
        </w:tc>
        <w:tc>
          <w:tcPr>
            <w:tcW w:w="80" w:type="dxa"/>
            <w:vAlign w:val="bottom"/>
          </w:tcPr>
          <w:p>
            <w:pPr>
              <w:spacing w:after="0"/>
              <w:rPr>
                <w:sz w:val="17"/>
                <w:szCs w:val="17"/>
                <w:color w:val="auto"/>
              </w:rPr>
            </w:pPr>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87"/>
              </w:rPr>
            </w:pPr>
            <w:hyperlink w:anchor="page41">
              <w:r>
                <w:rPr>
                  <w:rFonts w:ascii="Times New Roman" w:cs="Times New Roman" w:eastAsia="Times New Roman" w:hAnsi="Times New Roman"/>
                  <w:sz w:val="18"/>
                  <w:szCs w:val="18"/>
                  <w:color w:val="0000EE"/>
                  <w:w w:val="87"/>
                </w:rPr>
                <w:t>Item 7A.</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Quantitative and Qualitative Disclosures about Market Risk</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Item 8.</w:t>
              </w:r>
            </w:hyperlink>
          </w:p>
        </w:tc>
        <w:tc>
          <w:tcPr>
            <w:tcW w:w="80" w:type="dxa"/>
            <w:vAlign w:val="bottom"/>
          </w:tcPr>
          <w:p>
            <w:pPr>
              <w:spacing w:after="0"/>
              <w:rPr>
                <w:sz w:val="17"/>
                <w:szCs w:val="17"/>
                <w:color w:val="auto"/>
              </w:rPr>
            </w:pPr>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Item 9.</w:t>
              </w:r>
            </w:hyperlink>
          </w:p>
        </w:tc>
        <w:tc>
          <w:tcPr>
            <w:tcW w:w="80" w:type="dxa"/>
            <w:vAlign w:val="bottom"/>
          </w:tcPr>
          <w:p>
            <w:pPr>
              <w:spacing w:after="0"/>
              <w:rPr>
                <w:sz w:val="17"/>
                <w:szCs w:val="17"/>
                <w:color w:val="auto"/>
              </w:rPr>
            </w:pPr>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87"/>
              </w:rPr>
            </w:pPr>
            <w:hyperlink w:anchor="page76">
              <w:r>
                <w:rPr>
                  <w:rFonts w:ascii="Times New Roman" w:cs="Times New Roman" w:eastAsia="Times New Roman" w:hAnsi="Times New Roman"/>
                  <w:sz w:val="18"/>
                  <w:szCs w:val="18"/>
                  <w:color w:val="0000EE"/>
                  <w:w w:val="87"/>
                </w:rPr>
                <w:t>Item 9A.</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Controls and Procedures</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88"/>
              </w:rPr>
            </w:pPr>
            <w:hyperlink w:anchor="page77">
              <w:r>
                <w:rPr>
                  <w:rFonts w:ascii="Times New Roman" w:cs="Times New Roman" w:eastAsia="Times New Roman" w:hAnsi="Times New Roman"/>
                  <w:sz w:val="18"/>
                  <w:szCs w:val="18"/>
                  <w:color w:val="0000EE"/>
                  <w:w w:val="88"/>
                </w:rPr>
                <w:t>Item 9B.</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15"/>
            <w:vMerge w:val="restart"/>
          </w:tcPr>
          <w:p>
            <w:pPr>
              <w:jc w:val="center"/>
              <w:ind w:right="3600"/>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Part III</w:t>
              </w:r>
            </w:hyperlink>
          </w:p>
        </w:tc>
        <w:tc>
          <w:tcPr>
            <w:tcW w:w="0" w:type="dxa"/>
            <w:vAlign w:val="bottom"/>
          </w:tcPr>
          <w:p>
            <w:pPr>
              <w:spacing w:after="0" w:line="20" w:lineRule="exact"/>
              <w:rPr>
                <w:sz w:val="1"/>
                <w:szCs w:val="1"/>
                <w:color w:val="auto"/>
              </w:rPr>
            </w:pPr>
          </w:p>
        </w:tc>
      </w:tr>
      <w:tr>
        <w:trPr>
          <w:trHeight w:val="196"/>
        </w:trPr>
        <w:tc>
          <w:tcPr>
            <w:tcW w:w="600" w:type="dxa"/>
            <w:vAlign w:val="bottom"/>
            <w:gridSpan w:val="2"/>
            <w:vMerge w:val="restart"/>
          </w:tcPr>
          <w:p>
            <w:pPr>
              <w:spacing w:after="0"/>
              <w:rPr>
                <w:rFonts w:ascii="Times New Roman" w:cs="Times New Roman" w:eastAsia="Times New Roman" w:hAnsi="Times New Roman"/>
                <w:sz w:val="18"/>
                <w:szCs w:val="18"/>
                <w:color w:val="0000EE"/>
                <w:w w:val="93"/>
              </w:rPr>
            </w:pPr>
            <w:hyperlink w:anchor="page77">
              <w:r>
                <w:rPr>
                  <w:rFonts w:ascii="Times New Roman" w:cs="Times New Roman" w:eastAsia="Times New Roman" w:hAnsi="Times New Roman"/>
                  <w:sz w:val="18"/>
                  <w:szCs w:val="18"/>
                  <w:color w:val="0000EE"/>
                  <w:w w:val="93"/>
                </w:rPr>
                <w:t>Item 10.</w:t>
              </w:r>
            </w:hyperlink>
          </w:p>
        </w:tc>
        <w:tc>
          <w:tcPr>
            <w:tcW w:w="3660" w:type="dxa"/>
            <w:vAlign w:val="bottom"/>
            <w:gridSpan w:val="16"/>
            <w:vMerge w:val="restart"/>
          </w:tcPr>
          <w:p>
            <w:pPr>
              <w:ind w:left="42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Directors, Executive Officers and Corporate</w:t>
              </w:r>
            </w:hyperlink>
          </w:p>
        </w:tc>
        <w:tc>
          <w:tcPr>
            <w:tcW w:w="4100" w:type="dxa"/>
            <w:vAlign w:val="bottom"/>
            <w:gridSpan w:val="1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continue"/>
          </w:tcPr>
          <w:p>
            <w:pPr>
              <w:spacing w:after="0" w:line="20" w:lineRule="exact"/>
              <w:rPr>
                <w:sz w:val="1"/>
                <w:szCs w:val="1"/>
                <w:color w:val="auto"/>
              </w:rPr>
            </w:pPr>
          </w:p>
        </w:tc>
        <w:tc>
          <w:tcPr>
            <w:tcW w:w="3660" w:type="dxa"/>
            <w:vAlign w:val="bottom"/>
            <w:gridSpan w:val="16"/>
            <w:vMerge w:val="continu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 w:type="dxa"/>
            <w:vAlign w:val="bottom"/>
            <w:gridSpan w:val="2"/>
            <w:vMerge w:val="continue"/>
          </w:tcPr>
          <w:p>
            <w:pPr>
              <w:spacing w:after="0"/>
              <w:rPr>
                <w:sz w:val="14"/>
                <w:szCs w:val="14"/>
                <w:color w:val="auto"/>
              </w:rPr>
            </w:pPr>
          </w:p>
        </w:tc>
        <w:tc>
          <w:tcPr>
            <w:tcW w:w="3660" w:type="dxa"/>
            <w:vAlign w:val="bottom"/>
            <w:gridSpan w:val="16"/>
            <w:vMerge w:val="continue"/>
          </w:tcPr>
          <w:p>
            <w:pPr>
              <w:spacing w:after="0"/>
              <w:rPr>
                <w:sz w:val="14"/>
                <w:szCs w:val="14"/>
                <w:color w:val="auto"/>
              </w:rPr>
            </w:pPr>
          </w:p>
        </w:tc>
        <w:tc>
          <w:tcPr>
            <w:tcW w:w="4100" w:type="dxa"/>
            <w:vAlign w:val="bottom"/>
            <w:gridSpan w:val="15"/>
          </w:tcPr>
          <w:p>
            <w:pPr>
              <w:spacing w:after="0" w:line="170"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Governance</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93"/>
              </w:rPr>
            </w:pPr>
            <w:hyperlink w:anchor="page77">
              <w:r>
                <w:rPr>
                  <w:rFonts w:ascii="Times New Roman" w:cs="Times New Roman" w:eastAsia="Times New Roman" w:hAnsi="Times New Roman"/>
                  <w:sz w:val="18"/>
                  <w:szCs w:val="18"/>
                  <w:color w:val="0000EE"/>
                  <w:w w:val="93"/>
                </w:rPr>
                <w:t>Item 11.</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Executive Compensation</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93"/>
              </w:rPr>
            </w:pPr>
            <w:hyperlink w:anchor="page77">
              <w:r>
                <w:rPr>
                  <w:rFonts w:ascii="Times New Roman" w:cs="Times New Roman" w:eastAsia="Times New Roman" w:hAnsi="Times New Roman"/>
                  <w:sz w:val="18"/>
                  <w:szCs w:val="18"/>
                  <w:color w:val="0000EE"/>
                  <w:w w:val="93"/>
                </w:rPr>
                <w:t>Item 12.</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93"/>
              </w:rPr>
            </w:pPr>
            <w:hyperlink w:anchor="page77">
              <w:r>
                <w:rPr>
                  <w:rFonts w:ascii="Times New Roman" w:cs="Times New Roman" w:eastAsia="Times New Roman" w:hAnsi="Times New Roman"/>
                  <w:sz w:val="18"/>
                  <w:szCs w:val="18"/>
                  <w:color w:val="0000EE"/>
                  <w:w w:val="93"/>
                </w:rPr>
                <w:t>Item 13.</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93"/>
              </w:rPr>
            </w:pPr>
            <w:hyperlink w:anchor="page77">
              <w:r>
                <w:rPr>
                  <w:rFonts w:ascii="Times New Roman" w:cs="Times New Roman" w:eastAsia="Times New Roman" w:hAnsi="Times New Roman"/>
                  <w:sz w:val="18"/>
                  <w:szCs w:val="18"/>
                  <w:color w:val="0000EE"/>
                  <w:w w:val="93"/>
                </w:rPr>
                <w:t>Item 14.</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Principal Accounting Fees and Services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gridSpan w:val="16"/>
            <w:vMerge w:val="restart"/>
          </w:tcPr>
          <w:p>
            <w:pPr>
              <w:jc w:val="center"/>
              <w:ind w:right="358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Part IV</w:t>
              </w:r>
            </w:hyperlink>
          </w:p>
        </w:tc>
        <w:tc>
          <w:tcPr>
            <w:tcW w:w="0" w:type="dxa"/>
            <w:vAlign w:val="bottom"/>
          </w:tcPr>
          <w:p>
            <w:pPr>
              <w:spacing w:after="0" w:line="20" w:lineRule="exact"/>
              <w:rPr>
                <w:sz w:val="1"/>
                <w:szCs w:val="1"/>
                <w:color w:val="auto"/>
              </w:rPr>
            </w:pPr>
          </w:p>
        </w:tc>
      </w:tr>
      <w:tr>
        <w:trPr>
          <w:trHeight w:val="196"/>
        </w:trPr>
        <w:tc>
          <w:tcPr>
            <w:tcW w:w="600" w:type="dxa"/>
            <w:vAlign w:val="bottom"/>
            <w:gridSpan w:val="2"/>
            <w:vMerge w:val="restart"/>
          </w:tcPr>
          <w:p>
            <w:pPr>
              <w:spacing w:after="0"/>
              <w:rPr>
                <w:rFonts w:ascii="Times New Roman" w:cs="Times New Roman" w:eastAsia="Times New Roman" w:hAnsi="Times New Roman"/>
                <w:sz w:val="18"/>
                <w:szCs w:val="18"/>
                <w:color w:val="0000EE"/>
                <w:w w:val="93"/>
              </w:rPr>
            </w:pPr>
            <w:hyperlink w:anchor="page77">
              <w:r>
                <w:rPr>
                  <w:rFonts w:ascii="Times New Roman" w:cs="Times New Roman" w:eastAsia="Times New Roman" w:hAnsi="Times New Roman"/>
                  <w:sz w:val="18"/>
                  <w:szCs w:val="18"/>
                  <w:color w:val="0000EE"/>
                  <w:w w:val="93"/>
                </w:rPr>
                <w:t>Item 15.</w:t>
              </w:r>
            </w:hyperlink>
          </w:p>
        </w:tc>
        <w:tc>
          <w:tcPr>
            <w:tcW w:w="3640" w:type="dxa"/>
            <w:vAlign w:val="bottom"/>
            <w:gridSpan w:val="15"/>
            <w:vMerge w:val="restart"/>
          </w:tcPr>
          <w:p>
            <w:pPr>
              <w:ind w:left="42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Exhibits and Financial Statement Schedules</w:t>
              </w:r>
            </w:hyperlink>
          </w:p>
        </w:tc>
        <w:tc>
          <w:tcPr>
            <w:tcW w:w="4120" w:type="dxa"/>
            <w:vAlign w:val="bottom"/>
            <w:gridSpan w:val="1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0" w:type="dxa"/>
            <w:vAlign w:val="bottom"/>
            <w:gridSpan w:val="2"/>
            <w:vMerge w:val="continue"/>
          </w:tcPr>
          <w:p>
            <w:pPr>
              <w:spacing w:after="0"/>
              <w:rPr>
                <w:sz w:val="14"/>
                <w:szCs w:val="14"/>
                <w:color w:val="auto"/>
              </w:rPr>
            </w:pPr>
          </w:p>
        </w:tc>
        <w:tc>
          <w:tcPr>
            <w:tcW w:w="3640" w:type="dxa"/>
            <w:vAlign w:val="bottom"/>
            <w:gridSpan w:val="15"/>
            <w:vMerge w:val="continue"/>
          </w:tcPr>
          <w:p>
            <w:pPr>
              <w:spacing w:after="0"/>
              <w:rPr>
                <w:sz w:val="14"/>
                <w:szCs w:val="14"/>
                <w:color w:val="auto"/>
              </w:rPr>
            </w:pPr>
          </w:p>
        </w:tc>
        <w:tc>
          <w:tcPr>
            <w:tcW w:w="540" w:type="dxa"/>
            <w:vAlign w:val="bottom"/>
            <w:tcBorders>
              <w:top w:val="single" w:sz="8" w:color="0000EE"/>
            </w:tcBorders>
            <w:gridSpan w:val="8"/>
          </w:tcPr>
          <w:p>
            <w:pPr>
              <w:spacing w:after="0"/>
              <w:rPr>
                <w:sz w:val="14"/>
                <w:szCs w:val="14"/>
                <w:color w:val="auto"/>
              </w:rPr>
            </w:pPr>
          </w:p>
        </w:tc>
        <w:tc>
          <w:tcPr>
            <w:tcW w:w="35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93"/>
              </w:rPr>
            </w:pPr>
            <w:hyperlink w:anchor="page77">
              <w:r>
                <w:rPr>
                  <w:rFonts w:ascii="Times New Roman" w:cs="Times New Roman" w:eastAsia="Times New Roman" w:hAnsi="Times New Roman"/>
                  <w:sz w:val="18"/>
                  <w:szCs w:val="18"/>
                  <w:color w:val="0000EE"/>
                  <w:w w:val="93"/>
                </w:rPr>
                <w:t>Item 16.</w:t>
              </w:r>
            </w:hyperlink>
          </w:p>
        </w:tc>
        <w:tc>
          <w:tcPr>
            <w:tcW w:w="7760" w:type="dxa"/>
            <w:vAlign w:val="bottom"/>
            <w:gridSpan w:val="31"/>
          </w:tcPr>
          <w:p>
            <w:pPr>
              <w:ind w:left="420"/>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Form 10-K Summary</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2">
            <w:col w:w="8340" w:space="540"/>
            <w:col w:w="18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-51435</wp:posOffset>
            </wp:positionV>
            <wp:extent cx="6413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i w:val="1"/>
          <w:iCs w:val="1"/>
          <w:color w:val="auto"/>
        </w:rPr>
        <w:t>Certain statements and information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may constitute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within the meaning of the Private Securities Litigation Reform Act of 1995. The words “believe,” “expect,” “anticipate,”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“intend,” “foresee,” “should,” “would,” “could,” or other similar expressions are intended to identify</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which are generally not historic in nature.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are based on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expectations and beliefs of Comfort Systems USA, Inc. and its subsidiaries (collectively, the “Company”) concerning</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future developments and their effect on the Company. While the Company’s management believes that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statements are reasonable as and when made, there can be no assurance that future developments affecting the Company will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 those that it anticipates. All comments concerning the Company’s expectations for future revenue and operating results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based on the Company’s forecasts for its existing operations and do not include the potential impact of any future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acquisitions. The Company’s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involve significant risks and uncertainties (some of which are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beyond the Company’s control) and assumptions that could cause actual future results to differ materially from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Company’s historical experience and its present expectations or projections. Known material factors that could cause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Company’s actual results to differ from those in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are those described in Part I, “Item 1A. Risk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w:t>
      </w:r>
    </w:p>
    <w:p>
      <w:pPr>
        <w:spacing w:after="0" w:line="17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Readers are cautioned not to place undue reliance on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looking statements, which speak only as of the date hereof. The Company undertakes no obligation to publicly update or revise any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looking statements after the date they are made,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-360045</wp:posOffset>
            </wp:positionV>
            <wp:extent cx="6413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-222885</wp:posOffset>
            </wp:positionV>
            <wp:extent cx="6413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terms “Comfort Systems,” “we,” “us,” or “the Company” refer to Comfort Systems USA, Inc. or Comfort Systems USA, Inc. and its consolidated subsidiaries, as appropriate in the context.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7"/>
          <w:szCs w:val="17"/>
          <w:color w:val="auto"/>
        </w:rPr>
        <w:t>Comfort Systems USA, Inc., a Delaware corporation, was established in 1997. We provide comprehensive mechanical contracting services, which principally includes heating, ventilation and air conditioning (“HVAC”), plumbing, piping and controls, as well as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site construction, electrical, monitoring and fire protection. We install, maintain, repair and replace products and systems throughout our 36 operating units with 128 locations in 114 cities throughout the United States.</w:t>
      </w:r>
    </w:p>
    <w:p>
      <w:pPr>
        <w:spacing w:after="0" w:line="201"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We operate primarily in the commercial, industrial and institutional HVAC markets and perform most of our services in industrial, healthcare, education, office, technology, retail and government facilities. Approximately 99% of our consolidated 2018 revenue was derived from commercial, industrial and institutional customers and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family residential projects. Approximately 38.0% of our revenue was attributable to installation services in newly constructed facilities and</w:t>
      </w:r>
    </w:p>
    <w:p>
      <w:pPr>
        <w:spacing w:after="0" w:line="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62.0% was attributable to renovation, expansion, maintenance, repair and replacement services in existing buildings. Our consolidated 2018 revenue was derived from the following service activities, substantially all of which are in the mechanical services industry, the single industry segment we serve:</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 Activity</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6220" w:type="dxa"/>
            <w:vAlign w:val="bottom"/>
            <w:gridSpan w:val="2"/>
            <w:vMerge w:val="continue"/>
          </w:tcPr>
          <w:p>
            <w:pPr>
              <w:spacing w:after="0"/>
              <w:rPr>
                <w:sz w:val="15"/>
                <w:szCs w:val="15"/>
                <w:color w:val="auto"/>
              </w:rPr>
            </w:pPr>
          </w:p>
        </w:tc>
        <w:tc>
          <w:tcPr>
            <w:tcW w:w="10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HVAC and Plumbing</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Automation Control Systems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We believe that the commercial, industrial, and institutional mechanical contracting generates annual revenue in the United States of approximately $100 billion. Mechanical systems are necessary to virtually all commercial, industrial and institutional buildings. Because most buildings are sealed, HVAC systems provide the primary method of circulating fresh air in such buildings. In many instances, replacing an aging building’s existing systems with modern,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efficient systems significantly reduces a building’s operating costs while improving air quality and overall system effectiveness. Older commercial, industrial and institutional facilities often have poor air quality as well as inadequate air conditioning, and older HVAC systems result in significantly higher energy costs than do modern systems.</w:t>
      </w:r>
    </w:p>
    <w:p>
      <w:pPr>
        <w:spacing w:after="0" w:line="201" w:lineRule="exact"/>
        <w:rPr>
          <w:sz w:val="20"/>
          <w:szCs w:val="20"/>
          <w:color w:val="auto"/>
        </w:rPr>
      </w:pPr>
    </w:p>
    <w:p>
      <w:pPr>
        <w:jc w:val="both"/>
        <w:ind w:right="40" w:firstLine="648"/>
        <w:spacing w:after="0" w:line="276" w:lineRule="auto"/>
        <w:rPr>
          <w:sz w:val="20"/>
          <w:szCs w:val="20"/>
          <w:color w:val="auto"/>
        </w:rPr>
      </w:pPr>
      <w:r>
        <w:rPr>
          <w:rFonts w:ascii="Times New Roman" w:cs="Times New Roman" w:eastAsia="Times New Roman" w:hAnsi="Times New Roman"/>
          <w:sz w:val="17"/>
          <w:szCs w:val="17"/>
          <w:color w:val="auto"/>
        </w:rPr>
        <w:t>Many factors affect mechanical services industry growth, including but, not limited to, (i) population growth, which increases the need for commercial, industrial and institutional space, (ii) an aging installed base of buildings and equipment,</w:t>
      </w:r>
    </w:p>
    <w:p>
      <w:pPr>
        <w:spacing w:after="0" w:line="1" w:lineRule="exact"/>
        <w:rPr>
          <w:sz w:val="20"/>
          <w:szCs w:val="20"/>
          <w:color w:val="auto"/>
        </w:rPr>
      </w:pPr>
    </w:p>
    <w:p>
      <w:pPr>
        <w:ind w:right="1060" w:firstLine="3"/>
        <w:spacing w:after="0" w:line="261"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sophistication, complexity and efficiency of mechanical systems, and (iv) growing emphasis on environmental and energy efficiency.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industry can be broadly divided into two categories:</w:t>
      </w:r>
    </w:p>
    <w:p>
      <w:pPr>
        <w:spacing w:after="0" w:line="225" w:lineRule="exact"/>
        <w:rPr>
          <w:sz w:val="20"/>
          <w:szCs w:val="20"/>
          <w:color w:val="auto"/>
        </w:rPr>
      </w:pPr>
    </w:p>
    <w:p>
      <w:pPr>
        <w:ind w:left="980" w:right="40" w:hanging="329"/>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and installation in new buildings, which provided approximately 38.0% of our revenue in 2018, and</w:t>
      </w:r>
    </w:p>
    <w:p>
      <w:pPr>
        <w:spacing w:after="0" w:line="161" w:lineRule="exact"/>
        <w:rPr>
          <w:rFonts w:ascii="Times New Roman" w:cs="Times New Roman" w:eastAsia="Times New Roman" w:hAnsi="Times New Roman"/>
          <w:sz w:val="18"/>
          <w:szCs w:val="18"/>
          <w:color w:val="auto"/>
        </w:rPr>
      </w:pPr>
    </w:p>
    <w:p>
      <w:pPr>
        <w:ind w:left="980" w:right="740" w:hanging="329"/>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renovation, expansion, maintenance, repair and replacement in existing buildings, which provided the remaining 62.0% of our 2018 revenue.</w:t>
      </w:r>
    </w:p>
    <w:p>
      <w:pPr>
        <w:spacing w:after="0" w:line="160"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i w:val="1"/>
          <w:iCs w:val="1"/>
          <w:color w:val="auto"/>
        </w:rPr>
        <w:t>Construction, Installation, Expansion and Renovation Services</w:t>
      </w:r>
      <w:r>
        <w:rPr>
          <w:rFonts w:ascii="Times New Roman" w:cs="Times New Roman" w:eastAsia="Times New Roman" w:hAnsi="Times New Roman"/>
          <w:sz w:val="18"/>
          <w:szCs w:val="18"/>
          <w:color w:val="auto"/>
        </w:rPr>
        <w:t>— Construction, installation, expansion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renovation services consist of “design and build” and “plan and spec” projects. In “design and build” projects, the commercial HVAC company is responsible for designing, engineering and installing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efficient system customized to the specific needs of the building owner. Costs and other project terms are normally negotiated between the building owner or its representative and the contracting company. Companies that specialize in “design and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1" w:lineRule="exact"/>
        <w:rPr>
          <w:sz w:val="20"/>
          <w:szCs w:val="20"/>
          <w:color w:val="auto"/>
        </w:rPr>
      </w:pPr>
    </w:p>
    <w:p>
      <w:pPr>
        <w:ind w:right="60"/>
        <w:spacing w:after="0" w:line="224" w:lineRule="exact"/>
        <w:rPr>
          <w:sz w:val="20"/>
          <w:szCs w:val="20"/>
          <w:color w:val="auto"/>
        </w:rPr>
      </w:pPr>
      <w:r>
        <w:rPr>
          <w:rFonts w:ascii="Times New Roman" w:cs="Times New Roman" w:eastAsia="Times New Roman" w:hAnsi="Times New Roman"/>
          <w:sz w:val="18"/>
          <w:szCs w:val="18"/>
          <w:color w:val="auto"/>
        </w:rPr>
        <w:t>build” projects use a consultative approach with customers and tend to develop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building owners and developers, general contractors, architects, consulting engineers and property managers. “Plan and spec” installation refers to projects in which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architect or consulting engineer designs the HVAC systems and the installation project is “put out for bid.” We believe that “plan and spec” projects usually take longer to complete than “design and build” projects because the system design and installation process are not integrated, thus resulting in more frequent adjustments to project specifications, work requirements and schedules.</w:t>
      </w:r>
    </w:p>
    <w:p>
      <w:pPr>
        <w:spacing w:after="0" w:line="199"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i w:val="1"/>
          <w:iCs w:val="1"/>
          <w:color w:val="auto"/>
        </w:rPr>
        <w:t>Maintenance, Repair and Replacement Services</w:t>
      </w:r>
      <w:r>
        <w:rPr>
          <w:rFonts w:ascii="Times New Roman" w:cs="Times New Roman" w:eastAsia="Times New Roman" w:hAnsi="Times New Roman"/>
          <w:sz w:val="18"/>
          <w:szCs w:val="18"/>
          <w:color w:val="auto"/>
        </w:rPr>
        <w:t>—These services include maintaining, repairing, replacing,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reconfiguring and monitoring previously installed systems and building automation controls. The growth and aging of the installed base of HVAC and related systems, and the demand for more efficient and sophisticated systems and building automation controls have fueled growth in these services. The increasing complexity of these systems leads many commercial, industrial and institutional building owners and property managers to outsource maintenance and repair, often through service agreements with service providers.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 control and monitoring systems feature electronic sensors and microprocessors. These systems require specialized training to install, maintain and repair.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focus on strengthening operating competencies and on increasing profit margins. The key objectives of our strategy are to improve profitability and generate growth in our operations, to improve the productivity of our workforce, and to acquire complementary businesses. In order to accomplish our objectives, we are currently focused on the following elements:</w:t>
      </w:r>
    </w:p>
    <w:p>
      <w:pPr>
        <w:spacing w:after="0" w:line="17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Achieve Excellence in Core Competencies</w:t>
      </w:r>
      <w:r>
        <w:rPr>
          <w:rFonts w:ascii="Times New Roman" w:cs="Times New Roman" w:eastAsia="Times New Roman" w:hAnsi="Times New Roman"/>
          <w:sz w:val="18"/>
          <w:szCs w:val="18"/>
          <w:color w:val="auto"/>
        </w:rPr>
        <w:t>—We have identified six core competencies that we believe are critical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attracting and retaining customers, increasing operating income and cash flow and maximizing the productivity of our increasingly valuable skilled labor force. The six core competencies are: (i) safety, (ii) customer service, (iii) design and build expertise, (iv) effective pre-construction processes, (v) job and cost tracking, and (vi) service excellence.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Achieve Operating Efficiencies</w:t>
      </w:r>
      <w:r>
        <w:rPr>
          <w:rFonts w:ascii="Times New Roman" w:cs="Times New Roman" w:eastAsia="Times New Roman" w:hAnsi="Times New Roman"/>
          <w:sz w:val="18"/>
          <w:szCs w:val="18"/>
          <w:color w:val="auto"/>
        </w:rPr>
        <w:t>—We think we can achieve operating efficiencies and cost savings through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purchasing economies, adopting operational “best practices,” and focusing on job management to deliver services in a</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and efficient manner. We emphasize improving the “job loop” at our locations—qualifying, estimating, pricing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executing projects effectively and efficiently. We also use our combined spend to gain purchasing advantages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services such as HVAC components, raw materials, services, vehicles, bonding, insurance and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w:t>
      </w:r>
    </w:p>
    <w:p>
      <w:pPr>
        <w:spacing w:after="0" w:line="20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Attract, Retain and Invest in our Employees</w:t>
      </w:r>
      <w:r>
        <w:rPr>
          <w:rFonts w:ascii="Times New Roman" w:cs="Times New Roman" w:eastAsia="Times New Roman" w:hAnsi="Times New Roman"/>
          <w:sz w:val="18"/>
          <w:szCs w:val="18"/>
          <w:color w:val="auto"/>
        </w:rPr>
        <w:t>—We seek to attract and retain quality employees by providing them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career path from working for a larger company that offers a more stable income and attractive benefits packages. We continually invest in training, including programs for project managers, field superintendents, service managers, service technicians, sales managers, estimators, and leadership and development of key managers and leaders. We are also increasing our national and local focus on skills training for our hourly workers.</w:t>
      </w:r>
    </w:p>
    <w:p>
      <w:pPr>
        <w:spacing w:after="0" w:line="180" w:lineRule="exact"/>
        <w:rPr>
          <w:sz w:val="20"/>
          <w:szCs w:val="20"/>
          <w:color w:val="auto"/>
        </w:rPr>
      </w:pPr>
    </w:p>
    <w:p>
      <w:pPr>
        <w:ind w:right="40" w:firstLine="648"/>
        <w:spacing w:after="0" w:line="224" w:lineRule="exact"/>
        <w:rPr>
          <w:sz w:val="20"/>
          <w:szCs w:val="20"/>
          <w:color w:val="auto"/>
        </w:rPr>
      </w:pPr>
      <w:r>
        <w:rPr>
          <w:rFonts w:ascii="Times New Roman" w:cs="Times New Roman" w:eastAsia="Times New Roman" w:hAnsi="Times New Roman"/>
          <w:sz w:val="18"/>
          <w:szCs w:val="18"/>
          <w:i w:val="1"/>
          <w:iCs w:val="1"/>
          <w:color w:val="auto"/>
        </w:rPr>
        <w:t>Focus on Commercial, Industrial and Institutional Markets</w:t>
      </w:r>
      <w:r>
        <w:rPr>
          <w:rFonts w:ascii="Times New Roman" w:cs="Times New Roman" w:eastAsia="Times New Roman" w:hAnsi="Times New Roman"/>
          <w:sz w:val="18"/>
          <w:szCs w:val="18"/>
          <w:color w:val="auto"/>
        </w:rPr>
        <w:t>—We focus on the commercial, industrial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institutional building markets, including construction, maintenance, repair and replacement services. We believe that these complex markets are attractive because of their growth opportunities, large and diverse customer base, attractive margins and potential for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building owners. Approximately 99% of our consolidated 2018 revenue was derived from commercial, industrial and institutional customers and large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family residential projects.</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Leveraging Resources and Capabilities</w:t>
      </w:r>
      <w:r>
        <w:rPr>
          <w:rFonts w:ascii="Times New Roman" w:cs="Times New Roman" w:eastAsia="Times New Roman" w:hAnsi="Times New Roman"/>
          <w:sz w:val="18"/>
          <w:szCs w:val="18"/>
          <w:color w:val="auto"/>
        </w:rPr>
        <w:t>—We believe significant operating efficiencies can be achieved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leveraging resources among our operating locations. For example, we have shifted certain fabrication activities to centralized locations in order to increase asset utilization. We opportunistically allocate our engineering, field and supervisory labor from one operation to another to more fully use our employee base, meet our customers’ needs and share expertise. We believe we have realized scale benefits from coordinated purchasing, technical innovation, insurance, benefits, bonding and financing activities across our operations.</w:t>
      </w:r>
    </w:p>
    <w:p>
      <w:pPr>
        <w:spacing w:after="0" w:line="156" w:lineRule="exact"/>
        <w:rPr>
          <w:sz w:val="20"/>
          <w:szCs w:val="20"/>
          <w:color w:val="auto"/>
        </w:rPr>
      </w:pPr>
    </w:p>
    <w:p>
      <w:pPr>
        <w:ind w:right="340" w:firstLine="648"/>
        <w:spacing w:after="0" w:line="239" w:lineRule="exact"/>
        <w:rPr>
          <w:sz w:val="20"/>
          <w:szCs w:val="20"/>
          <w:color w:val="auto"/>
        </w:rPr>
      </w:pPr>
      <w:r>
        <w:rPr>
          <w:rFonts w:ascii="Times New Roman" w:cs="Times New Roman" w:eastAsia="Times New Roman" w:hAnsi="Times New Roman"/>
          <w:sz w:val="18"/>
          <w:szCs w:val="18"/>
          <w:i w:val="1"/>
          <w:iCs w:val="1"/>
          <w:color w:val="auto"/>
        </w:rPr>
        <w:t>Maintain a Diverse Customer, Geographic and Project Base</w:t>
      </w:r>
      <w:r>
        <w:rPr>
          <w:rFonts w:ascii="Times New Roman" w:cs="Times New Roman" w:eastAsia="Times New Roman" w:hAnsi="Times New Roman"/>
          <w:sz w:val="18"/>
          <w:szCs w:val="18"/>
          <w:color w:val="auto"/>
        </w:rPr>
        <w:t>—We have a distribution of revenue across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sectors that we believe reduces our exposure to negative developments in any given sector. We also have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35" w:lineRule="exact"/>
        <w:rPr>
          <w:sz w:val="20"/>
          <w:szCs w:val="20"/>
          <w:color w:val="auto"/>
        </w:rPr>
      </w:pPr>
      <w:r>
        <w:rPr>
          <w:rFonts w:ascii="Times New Roman" w:cs="Times New Roman" w:eastAsia="Times New Roman" w:hAnsi="Times New Roman"/>
          <w:sz w:val="18"/>
          <w:szCs w:val="18"/>
          <w:color w:val="auto"/>
        </w:rPr>
        <w:t>significant geographical diversification across all regions of the United States, again reducing our exposure to negative developments in any given region. Our distribution of revenue in 2018 by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sector was as follows: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27.3 %</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18.0 %</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Buildings</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13.2 %</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14.7 %</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6.6 %</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Retail, Restaurants and Entertainment</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10.3 %</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 and Residential</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3.7 %</w:t>
            </w:r>
          </w:p>
        </w:tc>
      </w:tr>
      <w:tr>
        <w:trPr>
          <w:trHeight w:val="217"/>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1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Approximately 84.0% of our revenue is earned on a project basis for installation of systems in newly constructed or existing facilities. As of December 31, 2018, we had 5,208 projects in process with an aggregate contract value of approximately $3.11 billion. Our average project takes six to nine months to complete, with an average contract price of approximately $597,000. This average project size, when taken together with the approximately 16.0% of our revenue derived from maintenance and service, provides us with a broad base of work in the construction services sector. A stratification of projects in progress as of December 31, 2018, by contract price,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w:t>
            </w:r>
          </w:p>
        </w:tc>
      </w:tr>
      <w:tr>
        <w:trPr>
          <w:trHeight w:val="162"/>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2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 Value</w:t>
            </w:r>
          </w:p>
        </w:tc>
      </w:tr>
      <w:tr>
        <w:trPr>
          <w:trHeight w:val="187"/>
        </w:trPr>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Contract Price of Project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$1 million</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million - $5 million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60" w:type="dxa"/>
            <w:vAlign w:val="bottom"/>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 million - $10 million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60" w:type="dxa"/>
            <w:vAlign w:val="bottom"/>
            <w:shd w:val="clear" w:color="auto" w:fill="CCEEFF"/>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million - $15 million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60" w:type="dxa"/>
            <w:vAlign w:val="bottom"/>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$15 million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60" w:type="dxa"/>
            <w:vAlign w:val="bottom"/>
            <w:shd w:val="clear" w:color="auto" w:fill="CCEEFF"/>
          </w:tcPr>
          <w:p>
            <w:pPr>
              <w:spacing w:after="0"/>
              <w:rPr>
                <w:sz w:val="18"/>
                <w:szCs w:val="18"/>
                <w:color w:val="auto"/>
              </w:rPr>
            </w:pPr>
          </w:p>
        </w:tc>
      </w:tr>
      <w:tr>
        <w:trPr>
          <w:trHeight w:val="21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60" w:type="dxa"/>
            <w:vAlign w:val="bottom"/>
          </w:tcPr>
          <w:p>
            <w:pPr>
              <w:spacing w:after="0"/>
              <w:rPr>
                <w:sz w:val="18"/>
                <w:szCs w:val="18"/>
                <w:color w:val="auto"/>
              </w:rPr>
            </w:pPr>
          </w:p>
        </w:tc>
      </w:tr>
    </w:tbl>
    <w:p>
      <w:pPr>
        <w:spacing w:after="0" w:line="19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Strategic Service Initiative</w:t>
      </w:r>
      <w:r>
        <w:rPr>
          <w:rFonts w:ascii="Times New Roman" w:cs="Times New Roman" w:eastAsia="Times New Roman" w:hAnsi="Times New Roman"/>
          <w:sz w:val="18"/>
          <w:szCs w:val="18"/>
          <w:color w:val="auto"/>
        </w:rPr>
        <w:t>—Over the last several years we have made substantial investments to expand our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maintenance revenue by increasing the value we can offer to service and maintenance customers. We are actively concentrating managerial and sales resources on training and hiring experienced employees to sell and profitably perform service work. In many locations we have added or upgraded our capability, and we believe our investments and efforts have provided customer value and stimulated growth in all aspects of our businesses.</w:t>
      </w:r>
    </w:p>
    <w:p>
      <w:pPr>
        <w:spacing w:after="0" w:line="180" w:lineRule="exact"/>
        <w:rPr>
          <w:sz w:val="20"/>
          <w:szCs w:val="20"/>
          <w:color w:val="auto"/>
        </w:rPr>
      </w:pPr>
    </w:p>
    <w:p>
      <w:pPr>
        <w:jc w:val="both"/>
        <w:ind w:right="4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Seek Growth through Acquisitions</w:t>
      </w:r>
      <w:r>
        <w:rPr>
          <w:rFonts w:ascii="Times New Roman" w:cs="Times New Roman" w:eastAsia="Times New Roman" w:hAnsi="Times New Roman"/>
          <w:sz w:val="18"/>
          <w:szCs w:val="18"/>
          <w:color w:val="auto"/>
        </w:rPr>
        <w:t>—We believe that we can increase our cash flow and operating income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to opportunistically enter new markets or service lines through acquisition. We have dedicated a significant portion of our cash flow on an ongoing basis to seeking opportunities to acquire businesses that have strong assembled workforces, attractive market positions and desirable locations.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Services Provided</w:t>
      </w:r>
    </w:p>
    <w:p>
      <w:pPr>
        <w:spacing w:after="0" w:line="22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We provide a wide range of construction, renovation, expansion, maintenance, repair and replacement services for mechanical and related systems in commercial, industrial and institutional properties. Our local management teams maintain responsibility for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operating decisions. Local management is augmented by regional leadership that focuses on core business competencies, regional financial performance, cooperation and coordination between locations, implementing best practices and corporate initiatives. In addition to senior management, local personnel generally include design engineers, sales personnel, customer service personnel, installation and service technicians, sheet metal and prefabrication technicians, estimators and administrative personnel. We have centralized certain administrative functions such as insurance, employee benefits, training, safety programs, marketing and cash management to enable our local operating management to focus on pursuing new business opportunities and improving operating efficiencies.</w:t>
      </w:r>
    </w:p>
    <w:p>
      <w:pPr>
        <w:spacing w:after="0" w:line="203" w:lineRule="exact"/>
        <w:rPr>
          <w:sz w:val="20"/>
          <w:szCs w:val="20"/>
          <w:color w:val="auto"/>
        </w:rPr>
      </w:pPr>
    </w:p>
    <w:p>
      <w:pPr>
        <w:ind w:right="220" w:firstLine="648"/>
        <w:spacing w:after="0" w:line="230" w:lineRule="exact"/>
        <w:rPr>
          <w:sz w:val="20"/>
          <w:szCs w:val="20"/>
          <w:color w:val="auto"/>
        </w:rPr>
      </w:pPr>
      <w:r>
        <w:rPr>
          <w:rFonts w:ascii="Times New Roman" w:cs="Times New Roman" w:eastAsia="Times New Roman" w:hAnsi="Times New Roman"/>
          <w:sz w:val="18"/>
          <w:szCs w:val="18"/>
          <w:i w:val="1"/>
          <w:iCs w:val="1"/>
          <w:color w:val="auto"/>
        </w:rPr>
        <w:t>Construction and Installation Services for New Buildings</w:t>
      </w:r>
      <w:r>
        <w:rPr>
          <w:rFonts w:ascii="Times New Roman" w:cs="Times New Roman" w:eastAsia="Times New Roman" w:hAnsi="Times New Roman"/>
          <w:sz w:val="18"/>
          <w:szCs w:val="18"/>
          <w:color w:val="auto"/>
        </w:rPr>
        <w:t>—Our installation business related to newly constructed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which comprised approximately 38.0% of our consolidated 2018 revenue, involves the design, engineering, integration, installation and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of mechanical and related systems. We provide “design and build” and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39"/>
        <w:spacing w:after="0" w:line="255" w:lineRule="auto"/>
        <w:rPr>
          <w:sz w:val="20"/>
          <w:szCs w:val="20"/>
          <w:color w:val="auto"/>
        </w:rPr>
      </w:pPr>
      <w:r>
        <w:rPr>
          <w:rFonts w:ascii="Times New Roman" w:cs="Times New Roman" w:eastAsia="Times New Roman" w:hAnsi="Times New Roman"/>
          <w:sz w:val="18"/>
          <w:szCs w:val="18"/>
          <w:color w:val="auto"/>
        </w:rPr>
        <w:t>“plan and spec” installation services for office buildings, retail centers, manufacturing plants, healthcare, education and government facilities and other commercial, industrial and institutional facilities. In a “design and build” installation, we work with the customer to determine the needed capacity and energy efficiency of the HVAC system that best suits the proposed facility. The final design, terms, price and timing of the project are then negotiated with the customer or its representatives, after which any necessary modifications are made to the system plan. In “plan and spec” installation, we participate in a bid process to provide labor, equipment, materials and installation based on the end user’s plans and engineering specifications.</w:t>
      </w:r>
    </w:p>
    <w:p>
      <w:pPr>
        <w:spacing w:after="0" w:line="189" w:lineRule="exact"/>
        <w:rPr>
          <w:sz w:val="20"/>
          <w:szCs w:val="20"/>
          <w:color w:val="auto"/>
        </w:rPr>
      </w:pPr>
    </w:p>
    <w:p>
      <w:pPr>
        <w:ind w:right="39" w:firstLine="648"/>
        <w:spacing w:after="0" w:line="254" w:lineRule="auto"/>
        <w:rPr>
          <w:sz w:val="20"/>
          <w:szCs w:val="20"/>
          <w:color w:val="auto"/>
        </w:rPr>
      </w:pPr>
      <w:r>
        <w:rPr>
          <w:rFonts w:ascii="Times New Roman" w:cs="Times New Roman" w:eastAsia="Times New Roman" w:hAnsi="Times New Roman"/>
          <w:sz w:val="18"/>
          <w:szCs w:val="18"/>
          <w:color w:val="auto"/>
        </w:rPr>
        <w:t>Once an agreement has been reached, we order the necessary materials and equipment for delivery to meet the project schedule. In many instances we fabricate ductwork and piping and assemble certain components for the system based on the mechanical drawing specifications, eliminating the need to subcontract ductwork or piping fabrication. Finally, we install the system at the project site, working closely with the owner or general contractor. Our average project takes six to nine months to complete, with an average contract price of approximately $597,000. We also perform larger project work, with 622 contracts in progress at December 31, 2018 with contract prices in excess of $1 million. Our largest project in progress at December 31, 2018 had a contract price of $47.9 million. Project contracts typically provide for periodic billings to the customer as we meet progress milestones or incur cost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spacing w:after="0" w:line="184" w:lineRule="exact"/>
        <w:rPr>
          <w:sz w:val="20"/>
          <w:szCs w:val="20"/>
          <w:color w:val="auto"/>
        </w:rPr>
      </w:pPr>
    </w:p>
    <w:p>
      <w:pPr>
        <w:ind w:right="179" w:firstLine="648"/>
        <w:spacing w:after="0" w:line="219" w:lineRule="exact"/>
        <w:rPr>
          <w:sz w:val="20"/>
          <w:szCs w:val="20"/>
          <w:color w:val="auto"/>
        </w:rPr>
      </w:pPr>
      <w:r>
        <w:rPr>
          <w:rFonts w:ascii="Times New Roman" w:cs="Times New Roman" w:eastAsia="Times New Roman" w:hAnsi="Times New Roman"/>
          <w:sz w:val="17"/>
          <w:szCs w:val="17"/>
          <w:i w:val="1"/>
          <w:iCs w:val="1"/>
          <w:color w:val="auto"/>
        </w:rPr>
        <w:t>Renovation, Expansion, Maintenance, Monitoring, Repair and Replacement Services for Existing Buildings</w:t>
      </w:r>
      <w:r>
        <w:rPr>
          <w:rFonts w:ascii="Times New Roman" w:cs="Times New Roman" w:eastAsia="Times New Roman" w:hAnsi="Times New Roman"/>
          <w:sz w:val="17"/>
          <w:szCs w:val="17"/>
          <w:color w:val="auto"/>
        </w:rPr>
        <w:t>—Our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renovation, expansion, maintenance, monitoring, repair and replacement services in existing buildings comprised approximately 62.0% of our consolidated 2018 revenue. Maintenance and repair services are provided either in response to service calls or under a service agreement. Service calls are coordinated by customer service representatives or dispatchers that use computer and communication technology to process orders, arrange service calls, dispatch technicians and communicate with and invoice customers. Service technicians work from service vehicles equipped with commonly used parts, supplies and tools to complete a variety of jobs. Commercial, industrial and institutional service agreements usually have terms of one or more years, with automatic annual renewals, and frequently include thirty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to sixty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cancellation notice periods. We also provide remote monitoring of temperature, pressure, humidity and air flow for HVAC systems.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Supply</w:t>
      </w:r>
    </w:p>
    <w:p>
      <w:pPr>
        <w:spacing w:after="0" w:line="229" w:lineRule="exact"/>
        <w:rPr>
          <w:sz w:val="20"/>
          <w:szCs w:val="20"/>
          <w:color w:val="auto"/>
        </w:rPr>
      </w:pPr>
    </w:p>
    <w:p>
      <w:pPr>
        <w:ind w:right="39" w:firstLine="648"/>
        <w:spacing w:after="0" w:line="255" w:lineRule="auto"/>
        <w:rPr>
          <w:sz w:val="20"/>
          <w:szCs w:val="20"/>
          <w:color w:val="auto"/>
        </w:rPr>
      </w:pPr>
      <w:r>
        <w:rPr>
          <w:rFonts w:ascii="Times New Roman" w:cs="Times New Roman" w:eastAsia="Times New Roman" w:hAnsi="Times New Roman"/>
          <w:sz w:val="18"/>
          <w:szCs w:val="18"/>
          <w:color w:val="auto"/>
        </w:rPr>
        <w:t>The raw materials and components we use include HVAC system components, ductwork, steel, sheet metal and copper tubing and piping. These raw materials and components are generally available from a variety of domestic or foreign suppliers at competitive prices. Delivery times are typically short for most raw materials and standard components, but during periods of peak demand, may extend to one month or more. We estimate that direct purchase of commodities and finished products comprises between 10% and 15% of our average project cost. We have procedures to reduce commodity cost exposure such as purchasing commodities early for particular projects, as well as selectively using time or market-based escalation and escape provisions in bids and contracts.</w:t>
      </w:r>
    </w:p>
    <w:p>
      <w:pPr>
        <w:spacing w:after="0" w:line="189" w:lineRule="exact"/>
        <w:rPr>
          <w:sz w:val="20"/>
          <w:szCs w:val="20"/>
          <w:color w:val="auto"/>
        </w:rPr>
      </w:pPr>
    </w:p>
    <w:p>
      <w:pPr>
        <w:ind w:right="39" w:firstLine="648"/>
        <w:spacing w:after="0" w:line="258" w:lineRule="auto"/>
        <w:rPr>
          <w:sz w:val="20"/>
          <w:szCs w:val="20"/>
          <w:color w:val="auto"/>
        </w:rPr>
      </w:pPr>
      <w:r>
        <w:rPr>
          <w:rFonts w:ascii="Times New Roman" w:cs="Times New Roman" w:eastAsia="Times New Roman" w:hAnsi="Times New Roman"/>
          <w:sz w:val="18"/>
          <w:szCs w:val="18"/>
          <w:color w:val="auto"/>
        </w:rPr>
        <w:t>Chillers for large units typically have the longest delivery time and generally have lead times of up to six months. The major components of commercial HVAC systems are compressors and chillers that are manufactured primarily by Carrier, Lennox, McQuay, Trane and York. The major suppliers of building automation control systems are Automated Logic, Delta, Distech, Honeywell, Johnson Controls, Novar, Rockwell, Schneider, Siemens, Trane and York. We do not have any significant contracts guaranteeing us a supply of raw materials or components.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Cyclicality and Seasonality</w:t>
      </w:r>
    </w:p>
    <w:p>
      <w:pPr>
        <w:spacing w:after="0" w:line="229" w:lineRule="exact"/>
        <w:rPr>
          <w:sz w:val="20"/>
          <w:szCs w:val="20"/>
          <w:color w:val="auto"/>
        </w:rPr>
      </w:pPr>
    </w:p>
    <w:p>
      <w:pPr>
        <w:ind w:right="19" w:firstLine="648"/>
        <w:spacing w:after="0" w:line="266" w:lineRule="auto"/>
        <w:rPr>
          <w:sz w:val="20"/>
          <w:szCs w:val="20"/>
          <w:color w:val="auto"/>
        </w:rPr>
      </w:pPr>
      <w:r>
        <w:rPr>
          <w:rFonts w:ascii="Times New Roman" w:cs="Times New Roman" w:eastAsia="Times New Roman" w:hAnsi="Times New Roman"/>
          <w:sz w:val="18"/>
          <w:szCs w:val="18"/>
          <w:color w:val="auto"/>
        </w:rPr>
        <w:t>Historically, the construction industry has been highly cyclical. As a result, our volume of business, particularly in new construction projects and renovation, may be adversely affected by declines in new installation and replacement projects in various geographic regions of the United States during periods of economic weakness.</w:t>
      </w:r>
    </w:p>
    <w:p>
      <w:pPr>
        <w:spacing w:after="0" w:line="176" w:lineRule="exact"/>
        <w:rPr>
          <w:sz w:val="20"/>
          <w:szCs w:val="20"/>
          <w:color w:val="auto"/>
        </w:rPr>
      </w:pPr>
    </w:p>
    <w:p>
      <w:pPr>
        <w:jc w:val="both"/>
        <w:ind w:right="79" w:firstLine="648"/>
        <w:spacing w:after="0" w:line="261" w:lineRule="auto"/>
        <w:rPr>
          <w:sz w:val="20"/>
          <w:szCs w:val="20"/>
          <w:color w:val="auto"/>
        </w:rPr>
      </w:pPr>
      <w:r>
        <w:rPr>
          <w:rFonts w:ascii="Times New Roman" w:cs="Times New Roman" w:eastAsia="Times New Roman" w:hAnsi="Times New Roman"/>
          <w:sz w:val="18"/>
          <w:szCs w:val="18"/>
          <w:color w:val="auto"/>
        </w:rPr>
        <w:t>The HVAC industry is subject to seasonal variations. The demand for new installation and replacement is generally lower during the winter months (the first quarter of the year) due to reduced construction activity during inclement weather and less use of air conditioning during the colder months. Demand for HVAC services is generally higher in the second and third calendar quarters due to increased construction activity and increased use of air</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conditioning during the warmer months. Accordingly, we expect our revenue and operating results generally will be lower in the first calendar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We have a diverse customer base, with no single customer accounting for more than 4% of consolidated 2018 revenue, and our largest customer often changes from year to year. Management and a dedicated sales force are responsible for developing and maintaining successful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key customers. Customers generally include building owners and developers and property managers, as well as general contractors, architects and consulting engineers. We intend to continue our emphasis on developing and maintaining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our customers by providing superior,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service in a professional manner. We believe we can continue to leverage the diverse technical and marketing strengths at individual locations to expand the services offered in other local markets. With respect to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location service opportunities, we maintain a national sales force in our national accounts group.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we had approximately 9,900 employees. We have collective bargaining agreements covering less than ten employees. We have not experienced and do not expect any significant strikes or work stoppages and believe our relations with employees covered by collective bargaining agreements are good.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Recruiting, Training and Safety</w:t>
      </w:r>
    </w:p>
    <w:p>
      <w:pPr>
        <w:spacing w:after="0" w:line="162"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Our continued success depends, in part, on our ability to continue to attract, retain and motivate qualified engineers, service technicians, field supervisors and project managers. We believe our success in retaining qualified employees will be based on the quality of our recruiting, training, compensation, employee benefits programs and opportunities for advancement. We provide numerous training programs for management, sales and leadership, as well as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job training, technical training, apprenticeship programs, attractive benefit packages and career advancement opportunities within our company.</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established comprehensive safety programs throughout our operations to ensure that all technicians comply with safety standards we have established and that are established under federal, state and local laws and regulations. Additionally, we have implemented a “best practices” safety program throughout our operations, which provides employees with incentives to improve safety performance and decrease workplace accidents. Safety leadership establishes safety programs and benchmarking to improve safety across the Company. Finally, our employment screening process seeks to determine that prospective employees have requisite skills, sufficient background references and acceptable driving records, if applicable. Our rate of incidents recordable under the standards of the Occupational Safety and Health Administration (“OSHA”) per one hundred employees per year, also known as the OSHA recordable rate, was 1.59 during 2018. This level was 28% better than the most recently published OSHA rate for our industry.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Litigation</w:t>
      </w:r>
    </w:p>
    <w:p>
      <w:pPr>
        <w:spacing w:after="0" w:line="162" w:lineRule="exact"/>
        <w:rPr>
          <w:sz w:val="20"/>
          <w:szCs w:val="20"/>
          <w:color w:val="auto"/>
        </w:rPr>
      </w:pPr>
    </w:p>
    <w:p>
      <w:pPr>
        <w:ind w:right="60" w:firstLine="648"/>
        <w:spacing w:after="0" w:line="220" w:lineRule="exact"/>
        <w:rPr>
          <w:sz w:val="20"/>
          <w:szCs w:val="20"/>
          <w:color w:val="auto"/>
        </w:rPr>
      </w:pPr>
      <w:r>
        <w:rPr>
          <w:rFonts w:ascii="Times New Roman" w:cs="Times New Roman" w:eastAsia="Times New Roman" w:hAnsi="Times New Roman"/>
          <w:sz w:val="18"/>
          <w:szCs w:val="18"/>
          <w:color w:val="auto"/>
        </w:rPr>
        <w:t>The primary insured risks in our operations are bodily injury, property damage and workers’ compensation injuries. We retain the risk for workers’ compensation, employer’s liability, auto liability, general liability and employee group health claims resulting from uninsured deductibles per-incident or occurrence. Because we have very large deductibles, the vast majority of our claims are paid by us, so as a practical matter we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 the great majority of these risks. Losses up to such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incident deductible amounts are estimated and accrued based upon known facts, historical trends and industry averages using the assistance of an actuary to project the extent of these obligations.</w:t>
      </w:r>
    </w:p>
    <w:p>
      <w:pPr>
        <w:spacing w:after="0" w:line="1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certain claims and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our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20"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typically warrant labor for the first year after installation on new HVAC systems and pass through to the customer manufacturers’ warranties on equipment. We generally warrant labor for thirty days after servicing existing HVAC systems. We do not expect warranty claims to have a material adverse effect on our financial position or results of operations.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right="280" w:firstLine="648"/>
        <w:spacing w:after="0" w:line="276" w:lineRule="auto"/>
        <w:rPr>
          <w:sz w:val="20"/>
          <w:szCs w:val="20"/>
          <w:color w:val="auto"/>
        </w:rPr>
      </w:pPr>
      <w:r>
        <w:rPr>
          <w:rFonts w:ascii="Times New Roman" w:cs="Times New Roman" w:eastAsia="Times New Roman" w:hAnsi="Times New Roman"/>
          <w:sz w:val="17"/>
          <w:szCs w:val="17"/>
          <w:color w:val="auto"/>
        </w:rPr>
        <w:t>The HVAC industry is highly competitive and consists of thousands of local and regional companies. We believe that purchasing decisions in the commercial, industrial and institutional markets are based on (i) competitive price,</w:t>
      </w:r>
    </w:p>
    <w:p>
      <w:pPr>
        <w:spacing w:after="0" w:line="1" w:lineRule="exact"/>
        <w:rPr>
          <w:sz w:val="20"/>
          <w:szCs w:val="20"/>
          <w:color w:val="auto"/>
        </w:rPr>
      </w:pPr>
    </w:p>
    <w:p>
      <w:pPr>
        <w:ind w:right="120" w:firstLine="3"/>
        <w:spacing w:after="0" w:line="216" w:lineRule="exact"/>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(iii) quality, timeliness and reliability, (iv) tenure, financial strength and access to bonding, (v) range of capabilities, and (vi) scale of operation. To improve our competitive position, we focus on both the consultative “design and build” installation market and the maintenance, repair and replacement market in order to develop and strengthen customer relationships. In addition, we believe our ability to provide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location coverage and a broad range of services gives us a strategic advantage over smaller competitors who may have more limited resources and capabilities.</w:t>
      </w:r>
    </w:p>
    <w:p>
      <w:pPr>
        <w:spacing w:after="0" w:line="90" w:lineRule="exact"/>
        <w:rPr>
          <w:sz w:val="20"/>
          <w:szCs w:val="20"/>
          <w:color w:val="auto"/>
        </w:rPr>
      </w:pPr>
    </w:p>
    <w:p>
      <w:pPr>
        <w:ind w:right="20" w:firstLine="648"/>
        <w:spacing w:after="0" w:line="223" w:lineRule="exact"/>
        <w:rPr>
          <w:sz w:val="20"/>
          <w:szCs w:val="20"/>
          <w:color w:val="auto"/>
        </w:rPr>
      </w:pPr>
      <w:r>
        <w:rPr>
          <w:rFonts w:ascii="Times New Roman" w:cs="Times New Roman" w:eastAsia="Times New Roman" w:hAnsi="Times New Roman"/>
          <w:sz w:val="18"/>
          <w:szCs w:val="18"/>
          <w:color w:val="auto"/>
        </w:rPr>
        <w:t>We believe that we are larger than most of our competitors, which are generally small,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operated companies in a specific area. However, there are divisions of larger contracting companies, utilities and HVAC equipment manufacturers that provide HVAC services in some of the same service lines and geographic areas we serve. Some of these competitors and potential competitors have greater financial resources than we do to finance development opportunities and support their operations. We believe our smaller competitors generally compete with us based on price and their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local customers. Our larger competitors compete with us on those factors but may also provide attractive financing and comprehensive service and product packages.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operate a fleet of various owned or leased service trucks, vans and support vehicles. We believe these vehicles generally are well maintained and sufficient for our current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Environmental Matters</w:t>
      </w:r>
    </w:p>
    <w:p>
      <w:pPr>
        <w:spacing w:after="0" w:line="229" w:lineRule="exact"/>
        <w:rPr>
          <w:sz w:val="20"/>
          <w:szCs w:val="20"/>
          <w:color w:val="auto"/>
        </w:rPr>
      </w:pPr>
    </w:p>
    <w:p>
      <w:pPr>
        <w:ind w:right="480" w:firstLine="648"/>
        <w:spacing w:after="0" w:line="270" w:lineRule="auto"/>
        <w:rPr>
          <w:sz w:val="20"/>
          <w:szCs w:val="20"/>
          <w:color w:val="auto"/>
        </w:rPr>
      </w:pPr>
      <w:r>
        <w:rPr>
          <w:rFonts w:ascii="Times New Roman" w:cs="Times New Roman" w:eastAsia="Times New Roman" w:hAnsi="Times New Roman"/>
          <w:sz w:val="17"/>
          <w:szCs w:val="17"/>
          <w:color w:val="auto"/>
        </w:rPr>
        <w:t>Our operations are subject to various federal, state and local laws and regulations, including: (i) licensing requirements applicable to engineering, construction and service technicians, (ii) building and HVAC codes and zoning ordinances, (iii) regulations relating to consumer protection, including those governing residential service agreements, (iv) special bidding and procurement requirements on government projects, (v) wage and hour regulations, and</w:t>
      </w:r>
    </w:p>
    <w:p>
      <w:pPr>
        <w:spacing w:after="0" w:line="3" w:lineRule="exact"/>
        <w:rPr>
          <w:sz w:val="20"/>
          <w:szCs w:val="20"/>
          <w:color w:val="auto"/>
        </w:rPr>
      </w:pPr>
    </w:p>
    <w:p>
      <w:pPr>
        <w:ind w:right="40" w:firstLine="3"/>
        <w:spacing w:after="0" w:line="253"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worker safety and protection of the environment. For example, our operations are subject to the requirements of the Occupational Safety and Health Act, or OSHA, and comparable state laws directed towards protection of employees. We believe we have all required licenses to conduct our operations and are in substantial compliance with applicable regulatory requirements. If we fail to comply with applicable regulations, we could be subject to substantial fines or revocation of our operating licenses.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Many state and local regulations governing the HVAC services trades require individuals to hold permits and licenses. In some cases, a required permit or license held by a single individual may be sufficient to authorize specified activities for all of our service technicians who work in the state or county that issued the permit or license. We seek to ensure that, where possible, we have two employees who hold any such permits or licenses that may be material to our operations in a particular geographic region.</w:t>
      </w:r>
    </w:p>
    <w:p>
      <w:pPr>
        <w:spacing w:after="0" w:line="184" w:lineRule="exact"/>
        <w:rPr>
          <w:sz w:val="20"/>
          <w:szCs w:val="20"/>
          <w:color w:val="auto"/>
        </w:rPr>
      </w:pPr>
    </w:p>
    <w:p>
      <w:pPr>
        <w:ind w:right="40" w:firstLine="648"/>
        <w:spacing w:after="0" w:line="217" w:lineRule="exact"/>
        <w:rPr>
          <w:sz w:val="20"/>
          <w:szCs w:val="20"/>
          <w:color w:val="auto"/>
        </w:rPr>
      </w:pPr>
      <w:r>
        <w:rPr>
          <w:rFonts w:ascii="Times New Roman" w:cs="Times New Roman" w:eastAsia="Times New Roman" w:hAnsi="Times New Roman"/>
          <w:sz w:val="18"/>
          <w:szCs w:val="18"/>
          <w:color w:val="auto"/>
        </w:rPr>
        <w:t>Our operations are subject to the federal Clean Air Act, as amended, which governs air emissions and imposes specific requirements on the use and handling of ozone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depleting refrigerants generally classified as chlorofluorocarbons (CFCs) or hydrochlorofluorocarbons (HCFCs). Clean Air Act regulations promulgated by the United States Environmental Protection Agency (USEPA) require the certification of service technicians involved in the service or repair of equipment containing these refrigerants and also regulate the containment and recycling of these refrigerants. These requirements have increased our training expenses and expenditures for containment and recycling equipment. The Clean Air Act is intended ultimately to eliminate the use of ozone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depleting substances such as CFCs and HCFCs in the United States and to require alternative refrigerants to be used in replacement HVAC systems. Some replacement refrigerants, already in use, and classified as hydrofluorocarbons (HFCs) are not ozone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depleting substances. HFCs are considered by USEPA to have high global warming potential. USEPA may at some point require the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HFCs and expand existing technician certification requirements to cover the handling of HFCs. We do not believe the existing regulations governing technician certification requirements for the handling of ozone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depleting substances or possible future regulations applicable to HFCs will materially affect our business on the whole because, although they require us to incur modest ongoing training costs, our competitors also incur such costs, and such regulations may encourage or require our customers to update their HVAC systems.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7"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www.comfortsystemsusa.com</w:t>
      </w:r>
      <w:r>
        <w:rPr>
          <w:rFonts w:ascii="Times New Roman" w:cs="Times New Roman" w:eastAsia="Times New Roman" w:hAnsi="Times New Roman"/>
          <w:sz w:val="18"/>
          <w:szCs w:val="18"/>
          <w:color w:val="auto"/>
        </w:rPr>
        <w:t>. We make available free of charge on or through our website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those reports filed or furnished pursuant to Section 13(a) or 15(d) of the Exchange Act as soon as reasonably practicable after we electronically file such material with, or furnish it to, the Securities and Exchange Commission. Our website also includes our code of ethics, titled “Corporate Compliance Policy: Standards and Procedures Regarding Business Practices,” together with other governance materials including our corporate governance standards and our Board committee charters. Printed versions of our code of ethics and our corporate governance standards may be obtained upon written request to our Corporate Compliance Officer at our headquarters address.</w:t>
      </w:r>
    </w:p>
    <w:p>
      <w:pPr>
        <w:spacing w:after="0" w:line="20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You may read and copy any materials filed with the Securities and Exchange Commission at the Securities and Exchange Commission’s Public Reference Room at 100 F Street, NE, Washington, DC 20549. You may obtain information on the operation of the Public Reference Room by calling the Securities and Exchange Commission at 1-800-SEC-0330. This information is also available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reference to these website addresses does not constitute incorporation by reference of the information contained on the websites and should not be considered part of this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Our business is subject to a variety of risks and uncertainties, including, but not limited to, the risks and uncertainties described below. You should carefully consider the risks described below, together with all the information included in this report. Our business, financial condition and results of operations could be adversely affected by the occurrence of any of these events, which could cause actual results to differ materially from expected and historical results, and the trading price of our common stock could decline.</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downturns in the markets in which we operate may materially and adversely affect our business because our business is dependent on levels of construction activity.</w:t>
      </w:r>
    </w:p>
    <w:p>
      <w:pPr>
        <w:spacing w:after="0" w:line="15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demand for our services is dependent upon the existence of construction projects and service requirements within the markets in which we operate. Any period of economic recession affecting a market or industry in which we transact business is likely to adversely impact our business. Many of the projects we work on have long lifecycles from conception to completion, and the bulk of our performance generally occurs late in a construction project’s lifecycle. We experience the results of economic trends well after an economic cycle begins, and therefore will continue to experience the results of an economic recession well after conditions in the general economy have improved.</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industries and markets we operate in have always been and will continue to be vulnerable to macroeconomic downturns because they are cyclical in nature. When there is a reduction in demand, it often leads to greater price competition as well as decreased revenue and profit. The lasting effects of a recession can also increase economic instability with our vendors, subcontractors, developers, and general contractors, which can cause us greater liability exposure and can result in us not being paid on some projects, as well as decreasing our revenue and profit. Further, to the extent some of our vendors, subcontractors, developers, or general contractors seek bankruptcy protection, the bankruptcy will likely force us to incur additional costs in attorneys’ fees, as well as other professional consultants, and will result in decreased revenue and profit. Additionally, a reduction in federal, state, or local government spending in our industries and markets could result in decreased revenue and profit for us.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bear the risk of cost overruns in most of our contracts, we may experience reduced profits or, in some cases, losses under these contracts if costs increase above our estimates.</w:t>
      </w:r>
    </w:p>
    <w:p>
      <w:pPr>
        <w:spacing w:after="0" w:line="15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contract prices are established largely upon estimates and assumptions of our projected costs, including assumptions about: future economic conditions; prices, including commodities prices; availability of labor, including the costs of providing labor, equipment, and materials; and other factors outside our control. If our estimates or assumptions prove to be inaccurate, if circumstances change in a way that renders our assumptions and estimates inaccurate or we fail to successfully execute the work, cost overruns may occur and we could experience reduced profits or a loss for affected projects. For instance, unanticipated technical problems may arise, we could have difficulty obtaining permits or approvals, local laws, labor costs or labor conditions could change, bad weather could delay construction, raw materials prices could increase, our suppliers or subcontractors may fail to perform as expected or site conditions may be different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than we expected. We are also exposed to increases in energy prices, particularly as they relate to gasoline prices. Additionally, in certain circumstances, we guarantee project completion or the achievement of certain acceptance and performance testing levels by a scheduled date. Failure to meet schedule or performance requirements typically results in additional costs to us, and in some cases, we may also create liability for consequential and liquidated damages. Performance problems for existing and future projects could cause our actual results of operations to differ materially from those we anticipate and could damage our reputation within our industry and our customer base.</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and cancellations, which means that amounts included in our backlog may not result in actual revenue or translate into profits.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revenue projected from our backlog may not be realized, or, if realized, may not result in profits. Projects may remain in our backlog for an extended period of time, or project cancellations or scope adjustments may occur with respect to contracts reflected in our backlog.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our industry could reduce our market share and our profit.</w:t>
      </w:r>
    </w:p>
    <w:p>
      <w:pPr>
        <w:spacing w:after="0" w:line="22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The markets we serve are highly fragmented and competitive. Our industry is characterized by many small companies whose activities are geographically concentrated. We compete on the basis of our technical expertise and experience, financial and operational resources, nationwide presence, industry reputation and dependability. While we believe our customers consider a number of these factors in awarding available contracts, a large portion of our work is awarded through a bid process. Consequently, price is often the principal factor in determining which contractor is selected, especially on smaller, less complex projects. Smaller competitors are sometimes able to win bids for these projects based on price alone due to their lower cost and financial return requirements. We expect competition to intensify in our industry, presenting us with significant challenges in our ability to maintain strong growth rates and acceptable profit margins. We also expect increased competition from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 service providers, because some of our customers have employees who perform service work similar to the services we provide. Vertical consolidation is also expected to intensify competition in our industry. If we are unable to meet these competitive challenges, we will lose market share to our competitors and experience an overall reduction in our profits. In addition, our profitability would be impaired if we have to reduce our prices to remain competitive.</w:t>
      </w:r>
    </w:p>
    <w:p>
      <w:pPr>
        <w:spacing w:after="0" w:line="1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managers and employees, we will be unable to operate efficiently, which could reduce our profitability.</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labor intensive, and many of our operations experience a high rate of employment turnover. At times of low unemployment rates in the United States, it will be more difficult for us to find qualified personnel at low cost in some geographic areas where we operate. Additionally, our business is managed by a small number of key executive and operational officers. We may be unable to hire and retain the sufficient skilled labor force necessary to operate efficiently and to support our growth strategy. Our labor expenses may increase as a result of a shortage in the supply of skilled personnel. Labor shortages, increased labor costs or the loss of key personnel could reduce our profitability and negatively impact our business. Further, our relationship with some customers could suffer if we are unable to retain the employees with whom those customers primarily work and have established relationships.</w:t>
      </w:r>
    </w:p>
    <w:p>
      <w:pPr>
        <w:spacing w:after="0" w:line="185" w:lineRule="exact"/>
        <w:rPr>
          <w:sz w:val="20"/>
          <w:szCs w:val="20"/>
          <w:color w:val="auto"/>
        </w:rPr>
      </w:pPr>
    </w:p>
    <w:p>
      <w:pPr>
        <w:ind w:right="280" w:firstLine="693"/>
        <w:spacing w:after="0" w:line="261" w:lineRule="auto"/>
        <w:rPr>
          <w:sz w:val="20"/>
          <w:szCs w:val="20"/>
          <w:color w:val="auto"/>
        </w:rPr>
      </w:pPr>
      <w:r>
        <w:rPr>
          <w:rFonts w:ascii="Times New Roman" w:cs="Times New Roman" w:eastAsia="Times New Roman" w:hAnsi="Times New Roman"/>
          <w:sz w:val="18"/>
          <w:szCs w:val="18"/>
          <w:color w:val="auto"/>
        </w:rPr>
        <w:t>Future growth could also impose significant additional responsibilities on members of our senior management, including the need to recruit and integrate new senior level managers and executives. To the extent that we are unable to manage our growth effectively, or are unable to attract and retain additional qualified management, we may not be able to expand our operations or execute our business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and future acquisitions may not be successful.</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pursuing selective acquisitions of businesses. We cannot assure that we will be able to locate acquisitions or that we will be able to consummate transactions on terms and conditions acceptable to us, or that acquired businesses will be profitable. Acquisitions may expose us to additional business risks different than those we have traditionally experienced. We also may encounter difficulties integrating acquired businesses and successfully managing the growth we expect to experience from these acquisitions.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may choose to finance future acquisitions with debt, equity, cash or a combination of the three. Future acquisitions could dilute earnings or disrupt the payment of a stockholder dividend. To the extent we succeed in making acquisitions, a number of risks will result, including:</w:t>
      </w:r>
    </w:p>
    <w:p>
      <w:pPr>
        <w:spacing w:after="0" w:line="147" w:lineRule="exact"/>
        <w:rPr>
          <w:sz w:val="20"/>
          <w:szCs w:val="20"/>
          <w:color w:val="auto"/>
        </w:rPr>
      </w:pPr>
    </w:p>
    <w:p>
      <w:pPr>
        <w:ind w:left="980" w:hanging="329"/>
        <w:spacing w:after="0" w:line="207" w:lineRule="exact"/>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material liabilities (including for environmental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w:t>
      </w:r>
    </w:p>
    <w:p>
      <w:pPr>
        <w:spacing w:after="0" w:line="253" w:lineRule="exact"/>
        <w:rPr>
          <w:rFonts w:ascii="Times New Roman" w:cs="Times New Roman" w:eastAsia="Times New Roman" w:hAnsi="Times New Roman"/>
          <w:sz w:val="18"/>
          <w:szCs w:val="18"/>
          <w:color w:val="auto"/>
        </w:rPr>
      </w:pPr>
    </w:p>
    <w:p>
      <w:pPr>
        <w:ind w:left="980" w:right="140" w:hanging="329"/>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due diligence to uncover situations that could result in legal exposure or to quantify the true liability exposure from known risks;</w:t>
      </w:r>
    </w:p>
    <w:p>
      <w:pPr>
        <w:spacing w:after="0" w:line="161" w:lineRule="exact"/>
        <w:rPr>
          <w:rFonts w:ascii="Times New Roman" w:cs="Times New Roman" w:eastAsia="Times New Roman" w:hAnsi="Times New Roman"/>
          <w:sz w:val="18"/>
          <w:szCs w:val="18"/>
          <w:color w:val="auto"/>
        </w:rPr>
      </w:pPr>
    </w:p>
    <w:p>
      <w:pPr>
        <w:ind w:left="980" w:right="680" w:hanging="329"/>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the management of daily operations to the integration of operations;</w:t>
      </w:r>
    </w:p>
    <w:p>
      <w:pPr>
        <w:spacing w:after="0" w:line="161" w:lineRule="exact"/>
        <w:rPr>
          <w:rFonts w:ascii="Times New Roman" w:cs="Times New Roman" w:eastAsia="Times New Roman" w:hAnsi="Times New Roman"/>
          <w:sz w:val="18"/>
          <w:szCs w:val="18"/>
          <w:color w:val="auto"/>
        </w:rPr>
      </w:pPr>
    </w:p>
    <w:p>
      <w:pPr>
        <w:ind w:left="980" w:hanging="329"/>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and retention of employees, in the assimilation of different cultures and practices, in the assimilation of broad and geographically dispersed personnel and operations, and the retention of employees generally;</w:t>
      </w:r>
    </w:p>
    <w:p>
      <w:pPr>
        <w:spacing w:after="0" w:line="176" w:lineRule="exact"/>
        <w:rPr>
          <w:rFonts w:ascii="Times New Roman" w:cs="Times New Roman" w:eastAsia="Times New Roman" w:hAnsi="Times New Roman"/>
          <w:sz w:val="18"/>
          <w:szCs w:val="18"/>
          <w:color w:val="auto"/>
        </w:rPr>
      </w:pPr>
    </w:p>
    <w:p>
      <w:pPr>
        <w:ind w:left="980" w:right="520" w:hanging="329"/>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financial and accounting challenges and complexities in areas such as tax planning, treasury management, financial reporting and internal controls;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 prior to the acquisition.</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failure to successfully integrate acquisitions could have an adverse effect on our business, financial condition and results of operations.</w:t>
      </w:r>
    </w:p>
    <w:p>
      <w:pPr>
        <w:spacing w:after="0" w:line="15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network disruptions or cyber security breaches could adversely affect our business.</w:t>
      </w:r>
    </w:p>
    <w:p>
      <w:pPr>
        <w:spacing w:after="0" w:line="159" w:lineRule="exact"/>
        <w:rPr>
          <w:sz w:val="20"/>
          <w:szCs w:val="20"/>
          <w:color w:val="auto"/>
        </w:rPr>
      </w:pPr>
    </w:p>
    <w:p>
      <w:pPr>
        <w:ind w:right="180" w:firstLine="648"/>
        <w:spacing w:after="0" w:line="219" w:lineRule="exact"/>
        <w:rPr>
          <w:sz w:val="20"/>
          <w:szCs w:val="20"/>
          <w:color w:val="auto"/>
        </w:rPr>
      </w:pPr>
      <w:r>
        <w:rPr>
          <w:rFonts w:ascii="Times New Roman" w:cs="Times New Roman" w:eastAsia="Times New Roman" w:hAnsi="Times New Roman"/>
          <w:sz w:val="18"/>
          <w:szCs w:val="18"/>
          <w:color w:val="auto"/>
        </w:rPr>
        <w:t>We use sophisticated information technology systems, networks, and infrastructure in conducting some of our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operations and providing services to certain customers. Information technology system failures, including suppliers’ or vendors’ system failures, could disrupt our operations by causing transaction errors, processing inefficiencies, the loss of customers, other business disruptions or the loss of employee personal information. In addition, these systems, networks, and infrastructure may be vulnerable to deliberate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that interfere with their functionality or the confidentiality of our information or our customers’ data. These events could impact our customers, employees and reputation and lead to financial losses from remediation actions, loss of business or potential liability or an increase in expense, all of which may have a material adverse effect on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contribute significantly to our completion of many projects.</w:t>
      </w:r>
    </w:p>
    <w:p>
      <w:pPr>
        <w:spacing w:after="0" w:line="201" w:lineRule="exact"/>
        <w:rPr>
          <w:sz w:val="20"/>
          <w:szCs w:val="20"/>
          <w:color w:val="auto"/>
        </w:rPr>
      </w:pPr>
    </w:p>
    <w:p>
      <w:pPr>
        <w:ind w:right="180" w:firstLine="648"/>
        <w:spacing w:after="0" w:line="232" w:lineRule="exact"/>
        <w:rPr>
          <w:sz w:val="20"/>
          <w:szCs w:val="20"/>
          <w:color w:val="auto"/>
        </w:rPr>
      </w:pPr>
      <w:r>
        <w:rPr>
          <w:rFonts w:ascii="Times New Roman" w:cs="Times New Roman" w:eastAsia="Times New Roman" w:hAnsi="Times New Roman"/>
          <w:sz w:val="18"/>
          <w:szCs w:val="18"/>
          <w:color w:val="auto"/>
        </w:rPr>
        <w:t>We hire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subcontractors to perform work and depend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to provide equipment and materials necessary to complete our projects. If we are unable to retain qualified subcontractors or suppliers, or if our subcontractors or suppliers do not perform as anticipated for any reason, our execution and profitability could be harmed.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for future periods may be impacted by impairment charges for goodwill and intangible assets.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for impairment each year, and more frequently if circumstances suggest an impairment may have occurred. We have determined in the past and may again determine in the future that a significant impairment has occurred in the value of our unamortized intangible assets or fixed assets, which could require us to write off a portion of our assets and could adversely affect our financial condition or our reported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and potential claims, lawsuits and proceedings could ultimately reduce our profitability and liquidity and weaken our financial condition.</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likely to continue to be named as a defendant in legal proceedings claiming damages from us in connection with the operation of our business. These actions and proceedings may involve claims for, among other things, compensation for alleged personal injury, workers’ compensation, employment discrimination, breach of contract or property damage. In addition, we may be subject to class action lawsuits involving allegations of violations of the Fair Labor Standards Act and state wage and hour laws. Due to the inherent uncertainties of litigation, we cannot accurately predict the ultimate outcome of any such actions or proceedings. We also are, and are likely to continue to be, from time to time a plaintiff in legal proceedings against customers, in which we seek to recover payment of contractual amounts we are owed as well as claims for increased costs we incur. When appropriate, we establish provisions against possible exposures, and we adjust these provisions from time to time according to ongoing exposure. If our assumptions and estimates related to these exposures prove to be inadequate or inaccurate, we could experience a reduction in our profitability and liquidity and a weakening of our financial condition. In addition, claims, lawsuits and proceedings may harm our reputation or divert management resources away from operating our business.</w:t>
      </w:r>
    </w:p>
    <w:p>
      <w:pPr>
        <w:spacing w:after="0" w:line="19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typically warrant the services we provide, guaranteeing the work performed against defects in workmanship and the material we supply. Historically, warranty claims have not been material as our customers evaluate much of the work we perform for defects shortly after work is completed. However, if warranty claims occur, we could be required to repair or replace warrantied items at our cost. In addition, our customers may elect to repair or replace the warrantied item by using the services of another provider and require us to pay for the cost of the repair or replacement. Costs incurred as a result of warranty claims could adversely affect our operating results and financial condition.</w:t>
      </w:r>
    </w:p>
    <w:p>
      <w:pPr>
        <w:spacing w:after="0" w:line="1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the percentage-of-completion method of accounting could result in a reduction or reversal of previously recorded revenue or profits.</w:t>
      </w:r>
    </w:p>
    <w:p>
      <w:pPr>
        <w:spacing w:after="0" w:line="159"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A material portion of our revenue is recognized using the percentage-of-completion method of accounting, which results in our recognizing contract revenue and earnings ratably over the contract term in the proportion that our actual costs bear to our estimated contract costs. The earnings or losses recognized on individual contracts are based on estimates of contract revenue,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induced delays and other factors. Contract losses are recognized in the fiscal period when the loss is determined. Contract profit estimates are also adjusted in the fiscal period in which it is determined that an adjustment is required. As a result of the requirements of the percentage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completion method of accounting, the possibility exists, for example, that we could have estimated and reported a profit on a contract over several periods and later determined, usually near contract completion, that all or a portion of such previously estimated and reported profits were overstated. If this occurs, the full aggregate amount of the overstatement will be reported for the period in which such determination is made, thereby eliminating all or a portion of any profits from other contracts that would have otherwise been reported in such period or even resulting in a loss being reported for such period. On a historical basis, we believe that we have made reasonably reliable estimates of the progress towards completion on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contracts. However, given the uncertainties associated with these types of contracts, it is possible for actual costs to vary from estimates previously made, which may result in reductions or reversals of previously recorded revenue and profits.</w:t>
      </w:r>
    </w:p>
    <w:p>
      <w:pPr>
        <w:spacing w:after="0" w:line="20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depends on our ability to provide surety bonds. Any difficulties in the financial and surety markets may adversely affect our bonding capacity and availability.</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past we have expanded, and it is possible we will continue to expand, the number and percentage of total contract dollars that require an underlying bond. Historically surety market conditions have experienced times of difficulty as a result of significant losses incurred by many surety companies and the results of macroeconomic trends outside of our control. Consequently, during times when less overall bonding capacity is available in the market, surety terms have become more expensive and more restrictive. As such, we cannot guarantee our ability to maintain a sufficient level of bonding capacity in the future, which could preclude our ability to bid for certain contracts or successfully contract with some customers. Additionally, even if we continue to be able to access bonding capacity to sufficiently bond future work, we may be required to post collateral to secure bonds, which would decrease the liquidity we would have available for other purposes. Our surety providers are under no commitment to guarantee our access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new bonds in the future; thus, our ability to access or increase bonding capacity is at the sole discretion of our surety providers. If our surety companies were to limit or eliminate our access to bonds, our alternatives would include seeking bonding capacity from other surety companies, increasing business with clients that do not require bonds and posting other forms of collateral for project performance, such as letters of credit or cash. We may be unable to secure these alternatives in a timely manner, on acceptable terms, or at all. As such, if we were to experience an interruption or reduction in the availability of bonding capacity, it is likely we would be unable to compete for or work on certain projects.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decentralized company and place significant decision making powers with our subsidiaries’ management, which presents certain risks.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practice of placing significant decision making powers with local management is important to our successful growth and allows us to be responsive to opportunities and to our customers’ needs. However, this practice presents certain risks, including the risk that we may be slower or less effective in our attempts to identify or react to problems affecting an important business than we would under a more centralized structure or that we would be slower to identify a misalignment between a subsidiary’s and the Company’s overall business strategy. Further, if a subsidiary location fails to follow the Company’s compliance policies, we could be made party to a contract, arrangement or situation that requires the assumption of large liabilities or has less advantageous terms than is typically found in the market.</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against many potential liabilities require high deductibles, and our risk management policies and procedures may leave us exposed to unidentified or unanticipated risks. Additionally, difficulties in the insurance markets may adversely affect our ability to obtain necessary insurance.</w:t>
      </w:r>
    </w:p>
    <w:p>
      <w:pPr>
        <w:spacing w:after="0" w:line="175"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Although we maintain insurance policies with respect to our related exposures, these policies are subject to high deductibles; as such, we are, in effect,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insured for substantially all of our typical claims. We hire an actuary to determine any liabilities for unpaid claims and associated expenses for the three major lines of coverage (workers’ compensation, general liability and auto liability). The determination of these claims and expenses and the appropriateness of the estimated liability are reviewed and updated quarterly. However, insurance liabilities are difficult to assess and estimate due to the many relevant factors, the effects of which are often unknown, including the severity of an injury, the determination of our liability in proportion to other parties, the number of incidents that have occurred but are not reported and the effectiveness of our safety program. Our accruals are based on known facts, historical trends (both internal trends and industry averages) and our reasonable estimate of our future expenses. We believe our accruals are adequate. However, our risk management strategies and techniques may not be fully effective in mitigating our risk exposure in all market environments or against all types of risk. If any of the variety of instruments, processes or strategies we use to manage our exposure to various types of risk are not effective, we may incur losses that are not covered by our insurance policies or that exceed our accruals or coverage limits.</w:t>
      </w:r>
    </w:p>
    <w:p>
      <w:pPr>
        <w:spacing w:after="0" w:line="20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Additionally, we typically are contractually required to provide proof of insurance on projects we work on. Historically insurance market conditions become more difficult for insurance consumers during periods when insurance companies suffer significant investment losses as well as casualty losses. Consequently, it is possible that insurance markets will become more expensive and restrictive. Also, our prior casualty loss history might adversely affect our ability to procure insurance within commercially reasonable ranges. As such, we may not be able to maintain commercially reasonable levels of insurance coverage in the future, which could preclude our ability to work on many projects and increase our overall risk exposure. Our insurance providers are under no commitment to renew our existing insurance policies in the future; therefore, our ability to obtain necessary levels or kinds of insurance coverage is subject to market forces outside our control. If we were unable to obtain necessary levels of insurance, it is likely we would be unable to compete for or work on most projects.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remain in compliance with covenants under our credit agreement, service our indebtedness, or fund our other liquidity needs could adversely impact our business.</w:t>
      </w:r>
    </w:p>
    <w:p>
      <w:pPr>
        <w:spacing w:after="0" w:line="159"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Our credit agreement and related restrictive and financial covenants are more fully described in Note 8 of “Notes to the Consolidated Financial Statements.” Our failure to comply with any of these covenants, or to pay principal, interest or other amounts when due thereunder, would constitute an event of default under the credit agreement. Default under our credit agreement could result in (1) us no longer being entitled to borrow under the agreement; (2) termination of the agreement;</w:t>
      </w:r>
    </w:p>
    <w:p>
      <w:pPr>
        <w:spacing w:after="0" w:line="3" w:lineRule="exact"/>
        <w:rPr>
          <w:sz w:val="20"/>
          <w:szCs w:val="20"/>
          <w:color w:val="auto"/>
        </w:rPr>
      </w:pPr>
    </w:p>
    <w:p>
      <w:pPr>
        <w:ind w:left="4440" w:right="2700" w:hanging="4437"/>
        <w:spacing w:after="0" w:line="762" w:lineRule="auto"/>
        <w:tabs>
          <w:tab w:leader="none" w:pos="2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maturity of outstanding indebtedness under the agreement; and/or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
        <w:spacing w:after="0" w:line="26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on any collateral securing the obligations under the agreement. If we are unable to service our debt obligations or fund our other liquidity needs, we could be forced to curtail our operations, reorganize our capital structure (including through bankruptcy proceedings) or liquidate some or all of our assets in a manner that could cause holders of our securities to experience a partial or total loss of their investment in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and/or defaults in customer payments, we could be unable to recover all expenditures.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Because of the nature of our contracts, at times we commit resources to projects prior to receiving payments from the customer in amounts sufficient to cover expenditures on projects as they are incurred. Delays in customer payments may require us to make a working capital investment. If a customer defaults in making their payments on a project to which we have devoted resources, it could have a material negative effect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properly utilize our workforce could have a negative impact on our profitability.</w:t>
      </w:r>
    </w:p>
    <w:p>
      <w:pPr>
        <w:spacing w:after="0" w:line="229" w:lineRule="exact"/>
        <w:rPr>
          <w:sz w:val="20"/>
          <w:szCs w:val="20"/>
          <w:color w:val="auto"/>
        </w:rPr>
      </w:pPr>
    </w:p>
    <w:p>
      <w:pPr>
        <w:ind w:right="180" w:firstLine="648"/>
        <w:spacing w:after="0" w:line="220" w:lineRule="exact"/>
        <w:rPr>
          <w:sz w:val="20"/>
          <w:szCs w:val="20"/>
          <w:color w:val="auto"/>
        </w:rPr>
      </w:pPr>
      <w:r>
        <w:rPr>
          <w:rFonts w:ascii="Times New Roman" w:cs="Times New Roman" w:eastAsia="Times New Roman" w:hAnsi="Times New Roman"/>
          <w:sz w:val="18"/>
          <w:szCs w:val="18"/>
          <w:color w:val="auto"/>
        </w:rPr>
        <w:t>The extent to which we utilize our workforce affects our profitability. Underutilizing our workforce could result in lower gross margins and, consequently, a decrease 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profitability. On the other hand, overutilization of our workforce could negatively impact safety, employee satisfactions and project execution, leading to a potential decline in future project awards. The utilization of our workforce is impacted by numerous factors, including:</w:t>
      </w:r>
    </w:p>
    <w:p>
      <w:pPr>
        <w:spacing w:after="0" w:line="201" w:lineRule="exact"/>
        <w:rPr>
          <w:sz w:val="20"/>
          <w:szCs w:val="20"/>
          <w:color w:val="auto"/>
        </w:rPr>
      </w:pPr>
    </w:p>
    <w:p>
      <w:pPr>
        <w:ind w:left="980" w:hanging="32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headcount requirements and our ability to manage attrition;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efficiency in scheduling projects and our ability to minimize downtime between project assignments;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work environment.</w:t>
      </w:r>
    </w:p>
    <w:p>
      <w:pPr>
        <w:spacing w:after="0" w:line="17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may need to perform our work under a variety of conditions, including but not limited to, difficult terrain, difficult site conditions and busy urban centers where delivery of materials and availability of labor may be impacted, clean-room environments where strict procedures must be followed, and sites which may have been exposed to harsh and hazardous conditions. If we are unable to manage the conditions required for certain of our jobs, including the availability of sufficient labor, adherence to environmental or other standards, and adequately addressing harsh or hazardous conditions, our business and financial condition could be adversely affected.</w:t>
      </w:r>
    </w:p>
    <w:p>
      <w:pPr>
        <w:spacing w:after="0" w:line="21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Misconduct by our employees, subcontractors or partners or our overall failure to comply with laws or regulations could harm our reputation, damage our relationships with customers, reduce our revenue and profits, and subject us to criminal and civil enforcement actions.</w:t>
      </w:r>
    </w:p>
    <w:p>
      <w:pPr>
        <w:spacing w:after="0" w:line="146" w:lineRule="exact"/>
        <w:rPr>
          <w:sz w:val="20"/>
          <w:szCs w:val="20"/>
          <w:color w:val="auto"/>
        </w:rPr>
      </w:pPr>
    </w:p>
    <w:p>
      <w:pPr>
        <w:ind w:firstLine="648"/>
        <w:spacing w:after="0" w:line="222" w:lineRule="exact"/>
        <w:rPr>
          <w:sz w:val="20"/>
          <w:szCs w:val="20"/>
          <w:color w:val="auto"/>
        </w:rPr>
      </w:pPr>
      <w:r>
        <w:rPr>
          <w:rFonts w:ascii="Times New Roman" w:cs="Times New Roman" w:eastAsia="Times New Roman" w:hAnsi="Times New Roman"/>
          <w:sz w:val="18"/>
          <w:szCs w:val="18"/>
          <w:color w:val="auto"/>
        </w:rPr>
        <w:t>Misconduct, fraud,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applicable laws and regulations, or other improper activities by one or more of our employees, subcontractors or partners could have a significant negative impact on our business and reputation. Examples of such misconduct include employee or subcontractor theft, the failure to comply with safety standards, laws and regulations, customer requirements, environmental laws and any other applicable laws or regulations. While we take precautions to prevent and detect these activities, such precautions may not be effective and are subject to inherent limitations, including human error and fraud. Our failure to comply with applicable laws or regulations or acts of misconduct could subject us to fines and penalties, harm our reputation, damage our relationships with customers, reduce our revenue and profits and subject us to criminal and civil enforcement actions.</w:t>
      </w:r>
    </w:p>
    <w:p>
      <w:pPr>
        <w:spacing w:after="0" w:line="1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or circumvention of our disclosure controls and procedures or internal controls over financial reporting could seriously harm our financial condition, results of operations, and our business.</w:t>
      </w:r>
    </w:p>
    <w:p>
      <w:pPr>
        <w:spacing w:after="0" w:line="11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plan to continue to maintain and strengthen internal controls and procedures to enhance the effectiveness of our disclosure controls and internal controls over financial reporting. Any system of controls, however well designed and operated, is based in part on certain assumptions and can provide only reasonable, and not absolute, assurances that the objectives of the system are met. Any failure of our disclosure controls and procedures or internal controls over financial reporting could harm our financial condition and results of operations.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subsidiary operations through the United States and are exposed to multiple state and local regulations, as well as federal laws and requirements applicable to government contractors. Changes in law, regulations or requirements, or a material failure of any of our subsidiaries or us to comply with any of them, could increase our costs and have other negative impacts on our business.</w:t>
      </w:r>
    </w:p>
    <w:p>
      <w:pPr>
        <w:spacing w:after="0" w:line="14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128 locations are located in 28 states, which exposes us to a variety of different state and local laws and regulations, particularly those pertaining to contractor licensing requirements. These laws and regulations govern many aspects of our business, and there are often different standards and requirements in different locations. In addition, our subsidiaries that perform work for federal government entities are subject to additional federal laws and regulatory and contractual requirements. Changes in any of these laws, or any of our subsidiaries’ material failure to comply with them, can adversely impact our operations by, among other things, increasing costs, distracting management’s time and attention from other items, and harming our reputation.</w:t>
      </w:r>
    </w:p>
    <w:p>
      <w:pPr>
        <w:spacing w:after="0" w:line="158"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government contractors, our subsidiaries are subject to a number of rules and regulations, and their contracts with government entities are subject to audit. Violations of the applicable rules and regulations could result in a subsidiary being barred from future government contracts.</w:t>
      </w:r>
    </w:p>
    <w:p>
      <w:pPr>
        <w:spacing w:after="0" w:line="13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Government contractors must comply with many regulations and other requirements that relate to the award, administration and performance of government contracts. A violation of these laws and regulations could result in imposition of fines and penalties, the termination of a government contract or debarment from bidding on government contracts in the future. Further, despite our decentralized nature, a violation at one of our locations could impact other locations’ ability to bid on and perform government contracts; additionally, because of our decentralized nature, we face risks in maintaining compliance with all local, state and federal government contracting requirements. Prohibition against bidding on future government contracts could have an adverse effect on our financial condition and results of operations.</w:t>
      </w:r>
    </w:p>
    <w:p>
      <w:pPr>
        <w:spacing w:after="0" w:line="1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and future environmental, safety and health regulations could impose significant additional costs on us that reduce our profits.</w:t>
      </w:r>
    </w:p>
    <w:p>
      <w:pPr>
        <w:spacing w:after="0" w:line="132"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HVAC systems are subject to various environmental statutes and regulations, including the Clean Air Act and those regulating the production, servicing and disposal of certain ozone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depleting refrigerants used in HVAC systems. There can be no assurance that the regulatory environment in which we operate will not change significantly in the future. Various local, state and federal laws and regulations impose licensing standards on technicians who install and service HVAC systems. Additional laws, regulations and standards apply to contractors who perform work that is being funded by public money, particularly federal public funding. Our failure to comply with these laws and regulations could subject us to substantial fines, the loss of our licenses or potentially debarment from future publicly funded work. It is impossible to predict the full nature and effect of judicial, legislative or regulatory developments relating to health and safety regulations and environmental protection regulations applicable to our operations. Additionally, industries in which our customers or potential customers operate may be affected by new or changing environmental, safety, health or other regulatory requirements, leading to decreased demand for our services and potentially impacting our business, financial condition, results of operations, cash flows and our ability to grow.</w:t>
      </w:r>
    </w:p>
    <w:p>
      <w:pPr>
        <w:spacing w:after="0" w:line="15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18"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Our projects are conducted at a variety of sites including construction sites and industrial facilities. Each location is subject to numerous safety risks, including electrocutions, fires, explosions, mechanical failures, weather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incidents, transportation accidents and damage to equipment. These hazards can cause personal injury and loss of life, severe damage to or destruction of property and equipment and other consequential damages and could lead to suspension of operations, large damage claims and, in extreme cases, criminal liability. While we have taken what we believe are appropriate precautions to minimize safety risks,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significant costs and liabilities, which could adversely affect our financial condition and results of operations. Poor safety performance could also jeopardize our relationships with our customers and harm our reputation.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If we do not effectively manage the size and cost of our operations, our existing infrastructure may become either strained or over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burdensome, and we may be unable to increase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-99695</wp:posOffset>
            </wp:positionV>
            <wp:extent cx="6413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8"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The growth that we have experienced in the past, and that we may experience in the future, may provide challenges to our organization, requiring us to expand our personnel and our operations. Future growth may strain our infrastructure, operations and other managerial and operating resources. We have also experienced in the past severe constriction in the markets in which we operate and, as a result, in our operating requirements. Failing to maintain the appropriate cost structure for a particular economic cycle may result in our incurring costs that affect our profitability. If our business resources become strained or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burdensome, our earnings may be adversely affected and we may be unable to increase revenue growth. Further, we may undertake contractual commitments that exceed our labor resources, which could also adversely affect our earnings and our ability to increase revenue growth.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susceptible to adverse weather conditions, which may harm our business and financial results.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business can be highly cyclical and subject to seasonal and other variations that can result in significant differences in operating results from quarter to quarter. Moreover, our business may be adversely affected by severe weather in areas where we have significant operations. Repercussions of severe weather conditions may include:</w:t>
      </w:r>
    </w:p>
    <w:p>
      <w:pPr>
        <w:spacing w:after="0" w:line="176" w:lineRule="exact"/>
        <w:rPr>
          <w:sz w:val="20"/>
          <w:szCs w:val="20"/>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services;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operations;</w:t>
      </w:r>
    </w:p>
    <w:p>
      <w:pPr>
        <w:spacing w:after="0" w:line="225" w:lineRule="exact"/>
        <w:rPr>
          <w:rFonts w:ascii="Times New Roman" w:cs="Times New Roman" w:eastAsia="Times New Roman" w:hAnsi="Times New Roman"/>
          <w:sz w:val="18"/>
          <w:szCs w:val="18"/>
          <w:color w:val="auto"/>
        </w:rPr>
      </w:pPr>
    </w:p>
    <w:p>
      <w:pPr>
        <w:ind w:left="980" w:right="480" w:hanging="329"/>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performance schedules in accordance with contracts and potential liability for liquidated damages;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fatalities;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damage to our facilities;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information systems;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receive machinery, equipment and materials at jobsites;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climate change could adversely affect us.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Climate change may create physical and financial risk. Physical risks from climate change could, among other things, include an increase in extreme weather events (such as floods or hurricanes), rising sea levels and limitations on water availability and quality. Such extreme weather conditions may limit the availability of resources, increasing the costs of our projects, or may cause projects to be delayed or cancelled.</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Legislation, nationwide protocols, regulation or other restrictions related to climate change could negatively impact our operations or our customers’ operations. Such legislation or restrictions could increase the costs of projects for our customers or, in some cases, prevent a project from going forward, which could in turn have an adverse effect on our financial condition and results of operations.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Force majeure events, including natural disasters and terrorists’ actions, could negatively impact our business, which may affect our financial condition, results of operations or cash flows.</w:t>
      </w:r>
    </w:p>
    <w:p>
      <w:pPr>
        <w:spacing w:after="0" w:line="130" w:lineRule="exact"/>
        <w:rPr>
          <w:sz w:val="20"/>
          <w:szCs w:val="20"/>
          <w:color w:val="auto"/>
        </w:rPr>
      </w:pPr>
    </w:p>
    <w:p>
      <w:pPr>
        <w:ind w:right="120" w:firstLine="648"/>
        <w:spacing w:after="0" w:line="226" w:lineRule="exact"/>
        <w:rPr>
          <w:sz w:val="20"/>
          <w:szCs w:val="20"/>
          <w:color w:val="auto"/>
        </w:rPr>
      </w:pPr>
      <w:r>
        <w:rPr>
          <w:rFonts w:ascii="Times New Roman" w:cs="Times New Roman" w:eastAsia="Times New Roman" w:hAnsi="Times New Roman"/>
          <w:sz w:val="18"/>
          <w:szCs w:val="18"/>
          <w:color w:val="auto"/>
        </w:rPr>
        <w:t>Force majeure or extraordinary events beyond the control of the contracting parties, such as natural and man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made disasters, as well as terrorist actions, could negatively impact us.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 If we are not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able to react quickly to force majeure events, our operations may be affected significantly, which would have a negative impact on our financial position, results of operations, cash flows and liquidity.</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Deliberate, malicious acts, including terrorism and sabotage, could damage our facilities, disrupt our operations or injure employees, contractors, customers or the public and result in liability to us.</w:t>
      </w:r>
    </w:p>
    <w:p>
      <w:pPr>
        <w:spacing w:after="0" w:line="15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Intentional acts of destruction could damage or destroy our facilities, reducing our operational production capacity and requiring us to repair or replace our facilities at substantial cost. Additionally, employees, contractors and the public could suffer substantial physical injury from acts of terrorism for which we could be liable. Governmental authorities may also impose security or other requirements that could make our operations more difficult or costly. The consequences of any such actions could adversely affect our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worldwide political and economic uncertainties may adversely affect our revenue and profitability.</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last several years have been periodically marked by political and economic concerns, including decreased consumer confidence, the lingering effects of international conflicts, tariffs, energy costs and inflation. This instability can make it extremely difficult for our customers, our vendors and us to accurately forecast and plan future business activities, and could cause constrained spending on our services, delays and a lengthening of our business development efforts, the demand for more favorable pricing or other terms, and/or difficulty in collection of our accounts receivable. Our government clients may face budget deficits that prohibit them from funding proposed and existing projects. Further, ongoing economic instability in the global markets could limit our ability to access the capital markets at a time when we would like, or need, to raise capital, which could have an impact on our ability to react to changing business conditions or new opportunities. If economic conditions remain uncertain or weaken, or government spending is reduced, our revenue and profitability could be adversely affected.</w:t>
      </w:r>
    </w:p>
    <w:p>
      <w:pPr>
        <w:spacing w:after="0" w:line="18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trade policy, including the imposition of tariffs and the resulting consequences, may have a material adverse impact on our business and results of operations.</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United States government has indicated its intent to adopt a new approach to trade policy, including potentially renegotiating or terminating certain existing bilateral or multi-lateral trade agreements. It has also initiated tariffs on certain foreign goods and has raised the possibility of imposing significant, additional tariff increases or expanding the tariffs to capture other types of goods.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have an adverse effect on our business, financial condition and results of operations.</w:t>
      </w:r>
    </w:p>
    <w:p>
      <w:pPr>
        <w:spacing w:after="0" w:line="185"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common stock, which is listed on the New York Stock Exchange, has from time to time experienced significant price and volume fluctuations. These fluctuations are likely to continue in the future, and our stockholders may suffer losses.</w:t>
      </w:r>
    </w:p>
    <w:p>
      <w:pPr>
        <w:spacing w:after="0" w:line="136"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The market price of our common stock may change significantly in response to various factors and events beyond our control. A variety of events may cause the market price of our common stock to fluctuate significantly, including the following: (i) the risk factors described in this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(ii) a shortfall in operating revenue or net income from that expected by securities analysts and investors; (iii) quarterly fluctuations in our operating results; (iv) changes in securities analysts’ estimates of our financial performance or that of our competitors or companies in our industry generally;</w:t>
      </w:r>
    </w:p>
    <w:p>
      <w:pPr>
        <w:spacing w:after="0" w:line="3" w:lineRule="exact"/>
        <w:rPr>
          <w:sz w:val="20"/>
          <w:szCs w:val="20"/>
          <w:color w:val="auto"/>
        </w:rPr>
      </w:pPr>
    </w:p>
    <w:p>
      <w:pPr>
        <w:ind w:firstLine="3"/>
        <w:spacing w:after="0" w:line="270" w:lineRule="auto"/>
        <w:tabs>
          <w:tab w:leader="none" w:pos="2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conditions in our customers’ industries; (vi) general conditions in the securities markets; (vii) our announcements of significant contracts, milestones, acquisitions; (viii) our relationship with other companies; (ix) our investors’ view of the sectors and markets in which we operate; and (x) additions or departures of key personnel. 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assess and report on our internal controls each year. Findings of inadequate internal controls could reduce investor confidence in the reliability of our financial information.</w:t>
      </w:r>
    </w:p>
    <w:p>
      <w:pPr>
        <w:spacing w:after="0" w:line="130"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As directed by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the SEC adopted rules generally requiring public companies, including us, to include in their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 report of management that contains an assessment by management of the effectiveness of our internal control over financial reporting. In addition, the independent registered public accounting firm auditing our financial statements must report on the effectiveness of our internal control over financial reporting. 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records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may discover in the future that we have deficiencies in the design and operation of our internal controls. If any of the deficiencies in our internal control, either by itself or in combination with other deficiencies, becomes a “material weakness”, such that there is a reasonable possibility that a material misstatement of the annual or interim financial statements will not be prevented or detected on a timely basis, we may be unable to conclude that we have effective internal control over financial reporting. In such event, investors could lose confidence in the reliability of our financial statements, which may significantly harm our business and cause our stock price to decline. In addition, the failure to maintain effective internal controls could also result in unauthorized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depress our stock price.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and uncertainty in our health insurance costs could adversely impact our results of operations and cash flows.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costs of employee health insurance have been increasing in recent years due to rising health care costs, legislative changes, and general economic conditions. Additionally, we may incur additional costs as a result of the Patient Protection and Affordable Care Act (the “Affordable Care Act”) that was signed into law in March 2010. Future legislation could also have an impact on our business. The status of the Affordable Care Act, any amendment, repeal or replacement thereof, is currently uncertain. For example, in 2019, the Affordable Care Act individual mandate will no longer be in effect, but how such a change will affect the market and health care costs remains uncertain. Because of the continued uncertainty about the implementation of the Affordable Care Act, including the potential for further legal challenges or repeal of that legislation, it is unclear what the impact of the Affordable Care Act, its amendment thereof, or its potential repeal or replacement will have on our financial position or results of operations.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Rising inflation and/or interest rates could have an adverse effect on our business, financial condition and results of operations.</w:t>
      </w:r>
    </w:p>
    <w:p>
      <w:pPr>
        <w:spacing w:after="0" w:line="15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Economic factors, including inflation and fluctuations in interest rates, could have a negative impact on our business. If our costs were to become subject to significant inflationary pressures or interest rate increases, we may not be able to fully offset such higher costs through price increases. Our inability or failure to do so could harm our financial position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rules and regulations could adversely affect our financial results.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Accounting rules and regulations are subject to review and interpretation by the Financial Accounting Standards Board (the “FASB”), the SEC and various other governing bodies. A change in U.S. GAAP could have a significant effect on our reported financial results. Additionally, the adoption of new or revised accounting principles could require that we make significant changes to our systems, processes and controls. We cannot predict the effect of future changes to accounting principles, which could have a significant effect on our reported financial results and/or our results of operations, cash flows and liquidity.</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matters, including changes in corporate tax laws and disagreements with taxing authorities, could impact our results of operations and financial condition.</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conduct business across the United States and file income taxes in various tax jurisdictions. Our effective tax rates could be affected by many factors, some of which are outside of our control, including changes in tax laws and regulations in the various tax jurisdictions in which we file income taxes. For instance, the Tax Cuts and Jobs Act was enacted into law in December 2017. While certain portions of the Tax Cuts and Jobs Act seem to have had a positive impact on the Company’s results of operations, the overall impact of the Tax Cuts and Jobs Act is uncertain and our business and financial condition could be adversely affected. Furthermore, to the extent that certain of our customers are negatively affected by the Tax Cuts and Jobs Act and/or any uncertainty around its implementation or enforcement, they may reduce spending and defer, delay or cancel projects or contracts. Reduced government revenue resulting from changes to tax law may also lead to reduced government spending, which may negatively impact our government contracting business. It is also unknown if and to what extent various states will conform to the changes enacted by the Tax Cuts and Jobs Act.</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Issues relating to tax audits or examinations and any related interest or penalties and uncertainty in obtaining deductions or credits claimed in various jurisdictions could also impact our effective tax rates. Our results of operations are reported based on our determination of the amount of taxes we owe in various tax jurisdictions. Significant judgment is required in determining our provision for income taxes and our determination of tax liability is always subject to review or examination by tax authorities in applicable tax jurisdictions. An adverse outcome of such a review of examination could adversely affect our operating results and financial condition. Further, the results of tax examinations and audits could have a negative impact on our financial results and cash flows where the results differ from the liabilities recorded in our financial statements.</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Our charter contains certain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takeover provisions that may inhibit or delay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-51435</wp:posOffset>
            </wp:positionV>
            <wp:extent cx="6413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34"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without stockholder approval, one or more series of preferred stock having such preferences, powers and relative, participating, optional and other rights (including preferences over the common stock respecting dividends and distributions and voting rights) as the board of directors may determine. The issuance of this “blank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check” preferred stock could render more difficult or discourage an attempt to obtain control by means of a tender offer, merger, proxy contest or otherwise. Additionally, certain provisions of the Delaware General Corporation Law or even certain provisions of our credit agreement may also discourage takeover attempts that have not been approved by the Board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2018, we owned ten properties. Other than these owned properties, we lease the real property and buildings from which we operate. Our facilities are located in 28 states and consist of offices, shops and fabrication, maintenance and warehouse facilities. Generally, leases range from three to ten years and are on terms we believe to be commercially reasonable. A majority of these premises are leased from individuals or entities with whom we have no other business relationship. In certain instances, these leases are with current or former employees. To the extent we renew, enter into leases or otherwise change leases with current or former employees, we enter into such agreements on terms that reflect a fair market valuation for the properties. Leased premises range in size from approximately 1,000 square feet to 110,000 square feet. To maximize available capital, we generally intend to continue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to lease our properties, but may consider further purchases of property where we believe ownership would be more economical. We believe that our facilities are sufficient for our current needs.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lease our executive and administrative offices in Houston, Texas.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certain claims and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our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4A. </w:t>
      </w:r>
      <w:r>
        <w:rPr>
          <w:rFonts w:ascii="Times New Roman" w:cs="Times New Roman" w:eastAsia="Times New Roman" w:hAnsi="Times New Roman"/>
          <w:sz w:val="18"/>
          <w:szCs w:val="18"/>
          <w:b w:val="1"/>
          <w:bCs w:val="1"/>
          <w:i w:val="1"/>
          <w:iCs w:val="1"/>
          <w:color w:val="auto"/>
        </w:rPr>
        <w:t>Executive Officers of the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Executive officers are appointed by our Board of Directors and hold office until their successors are elected and duly qualified. The following persons serve as executive officers of the Company.</w:t>
      </w:r>
    </w:p>
    <w:p>
      <w:pPr>
        <w:spacing w:after="0" w:line="16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Brian Lane, </w:t>
      </w:r>
      <w:r>
        <w:rPr>
          <w:rFonts w:ascii="Times New Roman" w:cs="Times New Roman" w:eastAsia="Times New Roman" w:hAnsi="Times New Roman"/>
          <w:sz w:val="18"/>
          <w:szCs w:val="18"/>
          <w:color w:val="auto"/>
        </w:rPr>
        <w:t>age 61, has served as our Chief Executive Officer and President since December 2011 and as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November 2010. Mr. Lane served as our President and Chief Operating Officer from March 2010 until December 2011. Mr. Lane joined the Company in October 2003 and served as Vice President and then Senior Vice President for Region One of the Company until he was named Executive Vice President and Chief Operating Officer in January 2009. Prior to joining the Company, Mr. Lane spent fifteen years at Halliburton, the global service and equipment company devoted to energy, industrial, and government customers. During his tenure at Halliburton, he held various positions in business development, strategy, and project initiatives. He departed as the Regional Director of Europe and Africa. Mr. Lane’s additional experience included serving as a Regional Director of Capstone Turbine Corporation, a distributed power manufacturer. He also was a Vice President of Kvaerner, an international engineering and construction company where he focused on the chemical industry. Mr. Lane holds a Bachelor of Science in Chemistry from the University of Notre Dame and a Master of Business Administration from Boston College.</w:t>
      </w:r>
    </w:p>
    <w:p>
      <w:pPr>
        <w:spacing w:after="0" w:line="193" w:lineRule="exact"/>
        <w:rPr>
          <w:sz w:val="20"/>
          <w:szCs w:val="20"/>
          <w:color w:val="auto"/>
        </w:rPr>
      </w:pPr>
    </w:p>
    <w:p>
      <w:pPr>
        <w:ind w:right="40" w:firstLine="648"/>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William George, </w:t>
      </w:r>
      <w:r>
        <w:rPr>
          <w:rFonts w:ascii="Times New Roman" w:cs="Times New Roman" w:eastAsia="Times New Roman" w:hAnsi="Times New Roman"/>
          <w:sz w:val="18"/>
          <w:szCs w:val="18"/>
          <w:color w:val="auto"/>
        </w:rPr>
        <w:t>age 54, has served as our Executive Vice President and Chief Financial Officer since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Senior Vice President, General Counsel and Secretary from May 1998 to May 2005, and was our Vice President, General Counsel and Secretary from March 1997 to April 1998. Since October 2011, Mr. George has also served as Regional Vice President for Region 5. Mr. George was a member of our founding management team in connection with our formation in 1997. From October 1995 to February 1997, Mr. George was Vice President and General Counsel of American Medical Response, Inc., a publicly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traded healthcare transportation company. From September 1992 to September 1995, Mr. George practiced corporate and antitrust law at Ropes &amp; Gray, a Boston, Massachusetts law firm. Mr. George holds a Bachelor of Science in Economics from Brigham Young University and a Juris Doctorate from Harvard Law School.</w:t>
      </w:r>
    </w:p>
    <w:p>
      <w:pPr>
        <w:spacing w:after="0" w:line="199" w:lineRule="exact"/>
        <w:rPr>
          <w:sz w:val="20"/>
          <w:szCs w:val="20"/>
          <w:color w:val="auto"/>
        </w:rPr>
      </w:pPr>
    </w:p>
    <w:p>
      <w:pPr>
        <w:ind w:right="140" w:firstLine="648"/>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Julie S. Shaeff, </w:t>
      </w:r>
      <w:r>
        <w:rPr>
          <w:rFonts w:ascii="Times New Roman" w:cs="Times New Roman" w:eastAsia="Times New Roman" w:hAnsi="Times New Roman"/>
          <w:sz w:val="18"/>
          <w:szCs w:val="18"/>
          <w:color w:val="auto"/>
        </w:rPr>
        <w:t>age 53, has served as our Senior Vice President and Chief Accounting Officer since May 2005,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Vice President and Corporate Controller from March 2002 to May 2005, and was our Assistant Corporate Controller from September 1999 to February 2002. From 1996 to August 1999, Ms. Shaeff was Financial Accounting Manager— Corporate Controllers Group for Browning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Ferris Industries, Inc., a publicly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traded waste services company. From 1987 to 1995, she held various positions with Arthur Andersen LLP. Ms. Shaeff is a Certified Public Accountant and holds a Bachelor of Business Administration in Accounting from Texas A&amp;M University.</w:t>
      </w:r>
    </w:p>
    <w:p>
      <w:pPr>
        <w:spacing w:after="0" w:line="198" w:lineRule="exact"/>
        <w:rPr>
          <w:sz w:val="20"/>
          <w:szCs w:val="20"/>
          <w:color w:val="auto"/>
        </w:rPr>
      </w:pPr>
    </w:p>
    <w:p>
      <w:pPr>
        <w:ind w:right="40" w:firstLine="693"/>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Laura F. Howell, </w:t>
      </w:r>
      <w:r>
        <w:rPr>
          <w:rFonts w:ascii="Times New Roman" w:cs="Times New Roman" w:eastAsia="Times New Roman" w:hAnsi="Times New Roman"/>
          <w:sz w:val="18"/>
          <w:szCs w:val="18"/>
          <w:color w:val="auto"/>
        </w:rPr>
        <w:t>age 31, has served as Vice President and General Counsel for the Company since January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her current position, Ms. Howell served as the Associate General Counsel from January 2018 to December 2018 and as Senior Counsel, Corporate from November 2014 to December 2017. Prior to joining the Company, she was an associate in the corporate department of the Houston office of Latham &amp; Watkins, LLP from November 2013 to October 2014. From September 2012 to October 2013, Ms. Howell was an associate in the corporate department of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Silicon Valley office of Fenwick &amp; West, LLP. Ms. Howell holds a Bachelor of Arts in Economics from Wake Forest University and a Juris Doctorate from Stanford Law School.</w:t>
      </w:r>
    </w:p>
    <w:p>
      <w:pPr>
        <w:spacing w:after="0" w:line="1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Terry A. Young, </w:t>
      </w:r>
      <w:r>
        <w:rPr>
          <w:rFonts w:ascii="Times New Roman" w:cs="Times New Roman" w:eastAsia="Times New Roman" w:hAnsi="Times New Roman"/>
          <w:sz w:val="18"/>
          <w:szCs w:val="18"/>
          <w:color w:val="auto"/>
        </w:rPr>
        <w:t>age 56, has served as Senior Vice President of Service for the Company since January 2019.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his current position, Mr. Young served as a Regional Vice President of Service for the Company from June 2013 to December 2018 and as Director of Business Development from May 2011 to June 2013. Mr. Young joined the Company after working in various Executive GM and VP positions in Asia Pacific and North American organizations, including Triple M Mechanical, Daikin (formerly McQuay International) and the Trane Company. He has spent more than 35 years in the commercial HVAC construction and services industry in various roles including technical, engineering, business development, project and strategic activities. Mr. Young has 6Sigma &amp; PMI certifications and is a graduate of the TAFE College of New South Wales, Australia where he completed studies in F&amp;M Engineering.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left="920" w:right="740" w:hanging="90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7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reported high and low sales prices of our Common Stock for the quarters indicated as traded at the New York Stock Exchange. Our Common Stock is traded under the symbol FIX:</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Cash</w:t>
            </w:r>
          </w:p>
        </w:tc>
      </w:tr>
      <w:tr>
        <w:trPr>
          <w:trHeight w:val="162"/>
        </w:trPr>
        <w:tc>
          <w:tcPr>
            <w:tcW w:w="3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w:t>
            </w:r>
          </w:p>
        </w:tc>
      </w:tr>
      <w:tr>
        <w:trPr>
          <w:trHeight w:val="187"/>
        </w:trPr>
        <w:tc>
          <w:tcPr>
            <w:tcW w:w="3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Declared</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2018</w:t>
            </w:r>
          </w:p>
        </w:tc>
        <w:tc>
          <w:tcPr>
            <w:tcW w:w="1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$ 59.20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$ 41.30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0.090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2018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$ 58.35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0.085</w:t>
            </w: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2018</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0.080</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2018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0.075</w:t>
            </w: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2017</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$ 44.65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0.075</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2017</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$ 37.15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0.075</w:t>
            </w: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2017</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$ 37.10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0.075</w:t>
            </w:r>
          </w:p>
        </w:tc>
        <w:tc>
          <w:tcPr>
            <w:tcW w:w="60" w:type="dxa"/>
            <w:vAlign w:val="bottom"/>
            <w:shd w:val="clear" w:color="auto" w:fill="CCEEFF"/>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2017</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$ 38.65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0.070</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February 15, 2019, there were approximately 342 stockholders of record of our Common Stock, and the last reported sale price on that date was $50.66 per share.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paying cash dividends quarterly, although there is no assurance as to future dividends because they depend on future earnings, capital requirements, and financial condition. In addition, our revolving credit agreement may limit the amount of dividends we can pay at any time that our Net Leverage Ratio exceeds 1.0.</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firstLine="648"/>
        <w:spacing w:after="0" w:line="266" w:lineRule="auto"/>
        <w:rPr>
          <w:sz w:val="20"/>
          <w:szCs w:val="20"/>
          <w:color w:val="auto"/>
        </w:rPr>
      </w:pPr>
      <w:r>
        <w:rPr>
          <w:rFonts w:ascii="Times New Roman" w:cs="Times New Roman" w:eastAsia="Times New Roman" w:hAnsi="Times New Roman"/>
          <w:sz w:val="18"/>
          <w:szCs w:val="18"/>
          <w:color w:val="auto"/>
        </w:rPr>
        <w:t>The following Corporate Performance Graph and related information shall not be deemed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123190</wp:posOffset>
            </wp:positionV>
            <wp:extent cx="4999990" cy="4853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9990"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29, 2007, our Board of Directors (the “Board”) approved a stock repurchase program to acquire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shares of our outstanding common stock. Subsequently, the Board has from time to time increased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that may be acquired under the program and approved extensions of the program. Since the inception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the Board has approved 8.8 million shares to be repurchased. As of December 31, 2018, we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a cumulative total of 8.2 million shares at an average price of $16.24 per share under the repurchase program.</w:t>
      </w:r>
    </w:p>
    <w:p>
      <w:pPr>
        <w:spacing w:after="0" w:line="207" w:lineRule="exact"/>
        <w:rPr>
          <w:sz w:val="20"/>
          <w:szCs w:val="20"/>
          <w:color w:val="auto"/>
        </w:rPr>
      </w:pPr>
    </w:p>
    <w:p>
      <w:pPr>
        <w:ind w:right="99" w:firstLine="648"/>
        <w:spacing w:after="0" w:line="266" w:lineRule="auto"/>
        <w:rPr>
          <w:sz w:val="20"/>
          <w:szCs w:val="20"/>
          <w:color w:val="auto"/>
        </w:rPr>
      </w:pPr>
      <w:r>
        <w:rPr>
          <w:rFonts w:ascii="Times New Roman" w:cs="Times New Roman" w:eastAsia="Times New Roman" w:hAnsi="Times New Roman"/>
          <w:sz w:val="18"/>
          <w:szCs w:val="18"/>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twelve</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months ended December 31, 2018, we repurchased 0.6 million shares for approximately $28.5 million at an average price of $48.13 per share.</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we purchased our common shares in the following amounts at the following average prices: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73"/>
        </w:trPr>
        <w:tc>
          <w:tcPr>
            <w:tcW w:w="3200" w:type="dxa"/>
            <w:vAlign w:val="bottom"/>
            <w:gridSpan w:val="3"/>
            <w:vMerge w:val="continue"/>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7,605,588</w:t>
            </w: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506,905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1 - February 28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26,150</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7,631,738</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124,331</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7,756,069</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1 - April 30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7,763,554</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 May 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7,770,395</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1 - June 30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7,771,395</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7,771,895</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 August 31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25,429</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7,797,324</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59,293</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7,856,617</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1 - October 31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117,616</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7,974,233</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 November 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72,194</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8,046,427</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1 - December 31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8,198,427</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8,198,427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80" w:hanging="333"/>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as part of a program announced on March 29, 2007 under which, since the inception of this program, 8.8 million shares have been approved for repurchase.</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Under our 2012 Equity Incentive Plan and 2017 Omnibus Incentive Plan, employees may elect to have us withhold common shares to satisfy statutory federal, state and local tax withholding obligations arising on the vesting of restricted stock awards and exercise of options. When we withhold these shares, we are required to remit to the appropriate taxing authorities the market price of the shares withheld, which could be deemed a purchase of the common shares by us on the date of withholding.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selected historical financial data has been derived from our audited financial statements and should be read in conjunction with the historical Consolidated Financial Statements and related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2,182,879</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1,787,922</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1,634,340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1,580,519</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1,410,795</w:t>
            </w:r>
          </w:p>
        </w:tc>
        <w:tc>
          <w:tcPr>
            <w:tcW w:w="4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(1)</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150,238</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99,260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101,569</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90,044</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42,222</w:t>
            </w:r>
          </w:p>
        </w:tc>
        <w:tc>
          <w:tcPr>
            <w:tcW w:w="40" w:type="dxa"/>
            <w:vAlign w:val="bottom"/>
            <w:shd w:val="clear" w:color="auto" w:fill="CCEEFF"/>
          </w:tcPr>
          <w:p>
            <w:pPr>
              <w:spacing w:after="0"/>
              <w:rPr>
                <w:sz w:val="12"/>
                <w:szCs w:val="12"/>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from continuing operations</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112,903</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55,272</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64,896</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57,440</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28,614</w:t>
            </w:r>
          </w:p>
        </w:tc>
        <w:tc>
          <w:tcPr>
            <w:tcW w:w="4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2"/>
                <w:szCs w:val="12"/>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112,903</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55,272</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64,896</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57,440</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28,599</w:t>
            </w:r>
          </w:p>
        </w:tc>
        <w:tc>
          <w:tcPr>
            <w:tcW w:w="4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Comfort Systems USA, Inc.</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112,903</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55,272</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64,896</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49,364</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23,063</w:t>
            </w:r>
          </w:p>
        </w:tc>
        <w:tc>
          <w:tcPr>
            <w:tcW w:w="40" w:type="dxa"/>
            <w:vAlign w:val="bottom"/>
            <w:shd w:val="clear" w:color="auto" w:fill="CCEEFF"/>
          </w:tcPr>
          <w:p>
            <w:pPr>
              <w:spacing w:after="0"/>
              <w:rPr>
                <w:sz w:val="12"/>
                <w:szCs w:val="12"/>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per share attributable to Comfort Systems USA, Inc.:</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from continuing operations</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4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from discontinued operations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28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3.03</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0.61</w:t>
            </w:r>
          </w:p>
        </w:tc>
        <w:tc>
          <w:tcPr>
            <w:tcW w:w="40" w:type="dxa"/>
            <w:vAlign w:val="bottom"/>
            <w:tcBorders>
              <w:bottom w:val="single" w:sz="8" w:color="CCEEFF"/>
            </w:tcBorders>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from continuing operations</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4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from discontinued operations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28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3.00</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0.61</w:t>
            </w:r>
          </w:p>
        </w:tc>
        <w:tc>
          <w:tcPr>
            <w:tcW w:w="40" w:type="dxa"/>
            <w:vAlign w:val="bottom"/>
            <w:tcBorders>
              <w:bottom w:val="single" w:sz="8" w:color="CCEEFF"/>
            </w:tcBorders>
          </w:tcPr>
          <w:p>
            <w:pPr>
              <w:spacing w:after="0"/>
              <w:rPr>
                <w:sz w:val="12"/>
                <w:szCs w:val="12"/>
                <w:color w:val="auto"/>
              </w:rPr>
            </w:pPr>
          </w:p>
        </w:tc>
      </w:tr>
      <w:tr>
        <w:trPr>
          <w:trHeight w:val="169"/>
        </w:trPr>
        <w:tc>
          <w:tcPr>
            <w:tcW w:w="4060" w:type="dxa"/>
            <w:vAlign w:val="bottom"/>
            <w:tcBorders>
              <w:bottom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per share</w:t>
            </w: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0.330</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0.295</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0.275</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0.250</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0.225</w:t>
            </w:r>
          </w:p>
        </w:tc>
        <w:tc>
          <w:tcPr>
            <w:tcW w:w="40" w:type="dxa"/>
            <w:vAlign w:val="bottom"/>
            <w:tcBorders>
              <w:bottom w:val="single" w:sz="8" w:color="CCEEFF"/>
            </w:tcBorders>
            <w:shd w:val="clear" w:color="auto" w:fill="CCEEFF"/>
          </w:tcPr>
          <w:p>
            <w:pPr>
              <w:spacing w:after="0"/>
              <w:rPr>
                <w:sz w:val="14"/>
                <w:szCs w:val="14"/>
                <w:color w:val="auto"/>
              </w:rPr>
            </w:pPr>
          </w:p>
        </w:tc>
      </w:tr>
      <w:tr>
        <w:trPr>
          <w:trHeight w:val="136"/>
        </w:trPr>
        <w:tc>
          <w:tcPr>
            <w:tcW w:w="40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Working capital</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142,642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115,629</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98,276</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118,882</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111,433</w:t>
            </w:r>
          </w:p>
        </w:tc>
        <w:tc>
          <w:tcPr>
            <w:tcW w:w="40" w:type="dxa"/>
            <w:vAlign w:val="bottom"/>
            <w:shd w:val="clear" w:color="auto" w:fill="CCEEFF"/>
          </w:tcPr>
          <w:p>
            <w:pPr>
              <w:spacing w:after="0"/>
              <w:rPr>
                <w:sz w:val="12"/>
                <w:szCs w:val="12"/>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1,062,564</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881,120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708,903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691,594</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655,942</w:t>
            </w:r>
          </w:p>
        </w:tc>
        <w:tc>
          <w:tcPr>
            <w:tcW w:w="4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debt</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76,918</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60,539</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2,811</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11,507</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40,346</w:t>
            </w:r>
          </w:p>
        </w:tc>
        <w:tc>
          <w:tcPr>
            <w:tcW w:w="40" w:type="dxa"/>
            <w:vAlign w:val="bottom"/>
            <w:shd w:val="clear" w:color="auto" w:fill="CCEEFF"/>
          </w:tcPr>
          <w:p>
            <w:pPr>
              <w:spacing w:after="0"/>
              <w:rPr>
                <w:sz w:val="12"/>
                <w:szCs w:val="12"/>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498,047</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417,945</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376,633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365,005</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321,393</w:t>
            </w:r>
          </w:p>
        </w:tc>
        <w:tc>
          <w:tcPr>
            <w:tcW w:w="4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Comfort Systems USA, Inc. stockholders’ equity</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498,047</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417,945</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376,633</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346,721</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306,281</w:t>
            </w:r>
          </w:p>
        </w:tc>
        <w:tc>
          <w:tcPr>
            <w:tcW w:w="40" w:type="dxa"/>
            <w:vAlign w:val="bottom"/>
            <w:shd w:val="clear" w:color="auto" w:fill="CCEEFF"/>
          </w:tcPr>
          <w:p>
            <w:pPr>
              <w:spacing w:after="0"/>
              <w:rPr>
                <w:sz w:val="12"/>
                <w:szCs w:val="12"/>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0" w:lineRule="exact"/>
        <w:rPr>
          <w:sz w:val="20"/>
          <w:szCs w:val="20"/>
          <w:color w:val="auto"/>
        </w:rPr>
      </w:pPr>
    </w:p>
    <w:p>
      <w:pPr>
        <w:ind w:left="660" w:right="240" w:hanging="333"/>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income is a goodwill impairment charge of $1.1 million for 2017 and $0.7 million for 2014. There were no goodwill impairment charges for 2018, 2016 or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related notes included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Also see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discussion.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are a national provider of comprehensive mechanical installation, renovation, maintenance, repair and replacement services within the mechanical services industry. We operate primarily in the commercial, industrial and institutional HVAC markets and perform most of our services within office buildings, retail centers, apartment complexes, manufacturing plants, and healthcare, education and government facilities.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Nature and Economics of Our Business</w:t>
      </w:r>
    </w:p>
    <w:p>
      <w:pPr>
        <w:spacing w:after="0" w:line="229" w:lineRule="exact"/>
        <w:rPr>
          <w:sz w:val="20"/>
          <w:szCs w:val="20"/>
          <w:color w:val="auto"/>
        </w:rPr>
      </w:pPr>
    </w:p>
    <w:p>
      <w:pPr>
        <w:ind w:right="140" w:firstLine="648"/>
        <w:spacing w:after="0" w:line="218" w:lineRule="exact"/>
        <w:rPr>
          <w:sz w:val="20"/>
          <w:szCs w:val="20"/>
          <w:color w:val="auto"/>
        </w:rPr>
      </w:pPr>
      <w:r>
        <w:rPr>
          <w:rFonts w:ascii="Times New Roman" w:cs="Times New Roman" w:eastAsia="Times New Roman" w:hAnsi="Times New Roman"/>
          <w:sz w:val="18"/>
          <w:szCs w:val="18"/>
          <w:color w:val="auto"/>
        </w:rPr>
        <w:t>Approximately 84.0% of our revenue is earned on a project basis for installation of mechanical systems in newly constructed facilities or for replacement of systems in existing facilities. Customers hire us to ensure such systems deliver specified or generally expected heating, cooling, conditioning and circulation of air in a facility. This entails installing core system equipment such as packaged heating and air conditioning units, or in the case of larger facilities, separate core components such as chillers, boilers, air handlers, and cooling towers. We also typically install connecting and distribution elements such as piping and ducting. Our responsibilities usually require conforming the systems to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engineering drawings and equipment and performance specifications, which we frequently participate in establishing. Our project management responsibilities include staging equipment and materials to project sites, deploying labor to perform the work, and coordinating with other service providers on the project, including any subcontractors we might use to deliver our portion of the work.</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When competing for project business, we usually estimate the costs we will incur on a project, and then propose a bid to the customer that includes a contract price and other performance and payment terms. Our bid price and terms are intended to cover our estimated costs on the project and provide a profit margin to us commensurate with the value of the installed system to the customer, the risk that project costs or duration will vary from estimate, the schedule on which we will be paid, the opportunities for other work that we might forego by committing capacity to this project, and other costs that we incur to support our operations but which are not specific to the project. Typically, customers will seek pricing from competitors for a given project. While the criteria on which customers select a service provider vary widely and include factors such as quality, technical expertise,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performance,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project support and service, and company history and financial strength, we believe that price for value is the most influential factor for most customers in choosing a mechanical installation and service provider.</w:t>
      </w:r>
    </w:p>
    <w:p>
      <w:pPr>
        <w:spacing w:after="0" w:line="20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After a customer accepts our bid, we generally enter into a contract with the customer that specifies what we will deliver on the project, what our related responsibilities are, and how much and when we will be paid. Our overall price for the project is typically set at a fixed amount in the contract, although changes in project specifications or work conditions that result in unexpected additional work are usually subject to additional payment from the customer via what are commonly known as change orders. Project contracts typically provide for periodic billings to the customer as we meet progress milestones or incur cost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spacing w:after="0" w:line="185" w:lineRule="exact"/>
        <w:rPr>
          <w:sz w:val="20"/>
          <w:szCs w:val="20"/>
          <w:color w:val="auto"/>
        </w:rPr>
      </w:pPr>
    </w:p>
    <w:p>
      <w:pPr>
        <w:ind w:right="60" w:firstLine="648"/>
        <w:spacing w:after="0" w:line="221" w:lineRule="exact"/>
        <w:rPr>
          <w:sz w:val="20"/>
          <w:szCs w:val="20"/>
          <w:color w:val="auto"/>
        </w:rPr>
      </w:pPr>
      <w:r>
        <w:rPr>
          <w:rFonts w:ascii="Times New Roman" w:cs="Times New Roman" w:eastAsia="Times New Roman" w:hAnsi="Times New Roman"/>
          <w:sz w:val="18"/>
          <w:szCs w:val="18"/>
          <w:color w:val="auto"/>
        </w:rPr>
        <w:t>Labor and overhead costs account for the majority of our cost of service. Accordingly, labor management and utilization have the most impact on our project performance. Given the fixed price nature of much of our project work, if our initial estimate of project costs is wrong or we incur cost overruns that cannot be recovered in change orders, we can experience reduced profits or even significant losses on fixed price project work. We also perform some project work on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plus or a time and materials basis, under which we are paid our costs incurred plus an agreed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upon profit margin, and such projects are sometimes subject to a guaranteed maximum cost. These margins are frequently less than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 contract margins because there is less risk of unrecoverable cost overruns in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plus or time and materials work.</w:t>
      </w:r>
    </w:p>
    <w:p>
      <w:pPr>
        <w:spacing w:after="0" w:line="183" w:lineRule="exact"/>
        <w:rPr>
          <w:sz w:val="20"/>
          <w:szCs w:val="20"/>
          <w:color w:val="auto"/>
        </w:rPr>
      </w:pPr>
    </w:p>
    <w:p>
      <w:pPr>
        <w:ind w:right="80" w:firstLine="648"/>
        <w:spacing w:after="0" w:line="218" w:lineRule="exact"/>
        <w:rPr>
          <w:sz w:val="20"/>
          <w:szCs w:val="20"/>
          <w:color w:val="auto"/>
        </w:rPr>
      </w:pPr>
      <w:r>
        <w:rPr>
          <w:rFonts w:ascii="Times New Roman" w:cs="Times New Roman" w:eastAsia="Times New Roman" w:hAnsi="Times New Roman"/>
          <w:sz w:val="18"/>
          <w:szCs w:val="18"/>
          <w:color w:val="auto"/>
        </w:rPr>
        <w:t>As of December 31, 2018, we had 5,208 projects in process. Our average project takes six to nine months to complete, with an average contract price of approximately $597,000. Our projects generally require working capital funding of equipment and labor costs. Customer payments on periodic billings generally do not recover these costs until late in the job. Our average project duration together with typical retention terms as discussed above generally allow us to complete the realization of revenue and earnings in cash within one year. We have what we believe is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diversified distribution of revenue across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sectors that we believe reduces our exposure to negative developments in any given sector. Because of the integral nature of HVAC and related controls systems to most buildings, we have the legal right in almost all cases to attach liens to buildings or related funding sources when we have not been fully paid for installing systems, except with respect to some government buildings. The service work that we do, which is discussed further below, usually does not give rise to lien rights.</w:t>
      </w: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We also perform larger projects. Taken together, projects with contract prices of $1 million or more totaled</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$2.51 billion of aggregate contract value as of December 31, 2018, or approximately 80%, out of a total contract value for all projects in progress of $3.11 billion. Generally, projects closer in size to $1 million will be completed in one year or less. It is unusual for us to work on a project that exceeds two years in length.</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stratification of projects in progress as of December 31, 2018, by contract price,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Contract Price of Project</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Value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4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$1 million</w:t>
            </w:r>
          </w:p>
        </w:tc>
        <w:tc>
          <w:tcPr>
            <w:tcW w:w="1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602.1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$1 million - $5 million</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1,102.1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million - $10 million</w:t>
            </w:r>
          </w:p>
        </w:tc>
        <w:tc>
          <w:tcPr>
            <w:tcW w:w="2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533.3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$10 million - $15 million</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$15 million</w:t>
            </w:r>
          </w:p>
        </w:tc>
        <w:tc>
          <w:tcPr>
            <w:tcW w:w="2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592.2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3,108.7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21" w:lineRule="exact"/>
        <w:rPr>
          <w:sz w:val="20"/>
          <w:szCs w:val="20"/>
          <w:color w:val="auto"/>
        </w:rPr>
      </w:pPr>
      <w:r>
        <w:rPr>
          <w:rFonts w:ascii="Times New Roman" w:cs="Times New Roman" w:eastAsia="Times New Roman" w:hAnsi="Times New Roman"/>
          <w:sz w:val="18"/>
          <w:szCs w:val="18"/>
          <w:color w:val="auto"/>
        </w:rPr>
        <w:t>In addition to project work, approximately 16.0% of our revenue represents maintenance and repair service on already installed HVAC and controls systems. This kind of work usually takes from a few hours to a few days to perform. Prices to the customer are based on the equipment and materials used in the service as well as technician labor time. We usually bill the customer for service work when it is complete, typically with payment terms of up to thirty days. We also provide maintenance and repair service under ongoing contracts. Under these contracts, we are paid regular monthly or quarterly amounts and provide specified service based on customer requirements. These agreements typically are for one or more years and frequently contain thirty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sixty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cancellation notice periods.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relatively small portion of our revenue comes from national and regional account customers. These customers typically have multiple sites, and contract with us to perform maintenance and repair service. These contracts may also provide for us to perform new or replacement systems installation. We operate a national call center to dispatch technicians to sites requiring service. We perform the majority of this work with our own employees, with the balance being subcontracted to third parties that meet our performance qualifications.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Profile and Management of Our Operations</w:t>
      </w:r>
    </w:p>
    <w:p>
      <w:pPr>
        <w:spacing w:after="0" w:line="229" w:lineRule="exact"/>
        <w:rPr>
          <w:sz w:val="20"/>
          <w:szCs w:val="20"/>
          <w:color w:val="auto"/>
        </w:rPr>
      </w:pPr>
    </w:p>
    <w:p>
      <w:pPr>
        <w:ind w:firstLine="648"/>
        <w:spacing w:after="0" w:line="221" w:lineRule="exact"/>
        <w:rPr>
          <w:sz w:val="20"/>
          <w:szCs w:val="20"/>
          <w:color w:val="auto"/>
        </w:rPr>
      </w:pPr>
      <w:r>
        <w:rPr>
          <w:rFonts w:ascii="Times New Roman" w:cs="Times New Roman" w:eastAsia="Times New Roman" w:hAnsi="Times New Roman"/>
          <w:sz w:val="18"/>
          <w:szCs w:val="18"/>
          <w:color w:val="auto"/>
        </w:rPr>
        <w:t>We manage our 36 operating units based on a variety of factors. Financial measures we emphasize include profitability, and use of capital as indicated by cash flow and by other measures of working capital principally involving project cost, billings and receivables. We also monitor selling, general, administrative and indirect project support expense, backlog, workforce size and mix, growth in revenue and profits, variation of actual project cost from original estimate, and overall financial performance in comparison to budget and updated forecasts. Operational factors we emphasize include project selection, estimating, pricing, management and execution practices, labor utilization, safety, training, and the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of both existing backlog as well as new business being pursued, in terms of project size, technical application and facility type,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customers and industries, and location of the work.</w:t>
      </w:r>
    </w:p>
    <w:p>
      <w:pPr>
        <w:spacing w:after="0" w:line="178" w:lineRule="exact"/>
        <w:rPr>
          <w:sz w:val="20"/>
          <w:szCs w:val="20"/>
          <w:color w:val="auto"/>
        </w:rPr>
      </w:pPr>
    </w:p>
    <w:p>
      <w:pPr>
        <w:ind w:right="40" w:firstLine="648"/>
        <w:spacing w:after="0" w:line="222" w:lineRule="exact"/>
        <w:rPr>
          <w:sz w:val="20"/>
          <w:szCs w:val="20"/>
          <w:color w:val="auto"/>
        </w:rPr>
      </w:pPr>
      <w:r>
        <w:rPr>
          <w:rFonts w:ascii="Times New Roman" w:cs="Times New Roman" w:eastAsia="Times New Roman" w:hAnsi="Times New Roman"/>
          <w:sz w:val="18"/>
          <w:szCs w:val="18"/>
          <w:color w:val="auto"/>
        </w:rPr>
        <w:t>Most of our operations compete on a local or regional basis. Attracting and retaining effective operating unit managers is an important factor in our business, particularly in view of the relative uniqueness of each market and operation, the importance of relationships with customers and other market participants such as architects and consulting engineers, and the high degree of competition and low barriers to entry in most of our markets. Accordingly, we devote considerable attention to operating unit management quality, stability, and contingency planning, including related considerations of compensation,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competition protection where applicable.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Economic and Industry Factors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a mechanical and building controls services provider, we operate in the broader nonresidential construction services industry and are affected by trends in this sector. While we do not have operations in all major cities of the United States, we believe our national presence is sufficiently large that we experience trends in demand for and pricing of our services that are consistent with trends in the national nonresidential construction sector. As a result, we monitor the views of major construction sector forecasters along with macroeconomic factors they believe drive the sector, including trends in gross domestic product, interest rates, business investment, employment, demographics, and the fiscal condition of federal, state and local governments.</w:t>
      </w:r>
    </w:p>
    <w:p>
      <w:pPr>
        <w:spacing w:after="0" w:line="18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Spending decisions for building construction, renovation and system replacement are generally made on a project basis, usually with some degree of discretion as to when and if projects proceed. With larger amounts of capital, time, and discretion involved, spending decisions are affected to a significant degree by uncertainty, particularly concerns about economic and financial conditions and trends. We have experienced periods of time when economic weakness caused a significant slowdown in decisions to proceed with installation and replacement project work.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Environment and Management Emphasis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Nonresidential building construction and renovation activity, as reported by the federal government, declined steeply over the four-year period from 2009 to 2012, and 2013 and 2014 activity levels were relatively stable at the low levels of the preceding years. During the four-year period from 2015 to 2018, there was an increase in overall activity levels and we currently expect that activity will continue at these improved levels during 2019.</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our continued strong emphasis on cash flow, at December 31, 2018 we had modest indebtedness under our revolving credit facility, with positive uncommitted cash balances, as discussed further in “Liquidity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Capital Resources” below. We have a credit facility in place with terms we believe are favorable that does not expire until April 2023. We have strong surety relationships to support our bonding needs, and we believe our relationships with the surety markets are strong and benefit from our operating history and financial position. We have generated positive free cash flow in each of the last twenty calendar years and will continue our emphasis in this area. We believe that the relative size and strength of our balance sheet and surety relationships as compared to most companies in our industry represent competitive advantages for us.</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discussed at greater length in “Results of Operations” below, we expect price competition to continue as our customers and local and regional competitors respond cautiously to improved market conditions. We will continue to invest in our service business, to pursue the more active sectors in our markets, and to emphasize our regional and national account business. Our primary emphasis for 2019 will be on execution and cost control, but we are seeking growth based on our belief that industry conditions will continue to be strong in the near term, and we believe that activity levels will permit us to continue to earn solid profits while preserving and developing our workforce. We continue to focus on project qualification, estimating, pricing and management; and we are investing in growth and improved performance.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3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critical accounting policies are based upon the significance of the accounting policy to our overall financial statement presentation, as well as the complexity of the accounting policy and our use of estimates and subjective assessments. Our most critical accounting policy is revenue recognition. Effective January 1, 2018, we adopted the requirements of Accounting Standards Update (ASU) 2014-09, Revenue from Contracts with Customers (Topic 606). For additional information on the new standard and the impact to our results of operations, refer to our Summary of Significant Accounting Policies in Note 2 to the Consolidated Financial Statements.</w:t>
      </w:r>
    </w:p>
    <w:p>
      <w:pPr>
        <w:spacing w:after="0" w:line="1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over time for all of our services as we perform them because (i) control continuously transfers to that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the Company.</w:t>
      </w:r>
    </w:p>
    <w:p>
      <w:pPr>
        <w:spacing w:after="0" w:line="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the reasons listed above,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 to cost measure of progress for our contracts as it best depicts the transfer of assets to the customer that occurs as we incur costs on our contracts. Under the cost to cost measure of progress, the extent of progress towards completion is measured based on the ratio of costs incurred to date to the total estimated costs at completion of the performance obligation. Revenue, including estimated fees or profits, is recorded proportionally as costs are incurred. Costs to fulfill include labor, materials and subcontractors’ costs, other direct costs and an allocation of indirect costs.</w:t>
      </w:r>
    </w:p>
    <w:p>
      <w:pPr>
        <w:spacing w:after="0" w:line="9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For a small portion of our business in which our services are delivered in the form of service maintenance agreements for existing systems to be repaired and maintained, as opposed to constructed, our performance obligation is to maintain the customer’s mechanical system for a specific period of time. Similar to jobs, we recognize revenue over time; however, for service maintenance agreements in which the full cost to provide services may not be known, we generally use an input method to recognize revenue, which is based on the amount of time we have provided our services out of the total time we have been contracted to perform those services.</w:t>
      </w:r>
    </w:p>
    <w:p>
      <w:pPr>
        <w:spacing w:after="0" w:line="78" w:lineRule="exact"/>
        <w:rPr>
          <w:sz w:val="20"/>
          <w:szCs w:val="20"/>
          <w:color w:val="auto"/>
        </w:rPr>
      </w:pPr>
    </w:p>
    <w:p>
      <w:pPr>
        <w:ind w:right="120" w:firstLine="648"/>
        <w:spacing w:after="0" w:line="226" w:lineRule="exact"/>
        <w:rPr>
          <w:sz w:val="20"/>
          <w:szCs w:val="20"/>
          <w:color w:val="auto"/>
        </w:rPr>
      </w:pPr>
      <w:r>
        <w:rPr>
          <w:rFonts w:ascii="Times New Roman" w:cs="Times New Roman" w:eastAsia="Times New Roman" w:hAnsi="Times New Roman"/>
          <w:sz w:val="18"/>
          <w:szCs w:val="18"/>
          <w:color w:val="auto"/>
        </w:rPr>
        <w:t>As discussed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business has two service functions: (i) installation, which we account for under the percentage of completion method, and (ii) maintenance, repair and replacement, which we account for as the services are performed, or in the case of replacement, under the percentage of completion method. In addition, we identified other critical accounting policies related to our allowance for doubtful accounts receivable, the recording of our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liabilities, valuation of deferred tax assets, accounting for acquisitions and the recoverability of goodwill and identifiable intangible assets. These accounting policies, as well as others, are described in Note 2 to the Consolidated Financial Statements included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Percentage of Completion Method of Accounting</w:t>
      </w:r>
    </w:p>
    <w:p>
      <w:pPr>
        <w:spacing w:after="0" w:line="13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Approximately 84.0% of our revenue was earned on a project basis and recognized through the percentage of completion method of accounting during 2018. Under this method, contract revenue recognizable at any time during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life of a contract is determined by multiplying expected total contract revenue by the percentage of contract costs incurred at any time to total estimated contract costs. More specifically, as part of the negotiation and bidding process to obtain installation contracts, we estimate our contract costs, which include all direct materials, labor and subcontract costs and indirect costs related to contract performance, such as indirect labor, supplies, tools, repairs and depreciation costs. These contract costs are included in our results of operations under the caption “Cost of Services.” Then, as we perform under those contracts, we measure costs incurred, compare them to total estimated costs to complete the contract, and recognize a corresponding proportion of contract revenue. Labor costs are considered to be incurred as the work is performed. Subcontractor labor is recognized as the work is performed.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labor project costs consist of purchased equipment, prefabricated materials and other materials. Purchased equipment on our projects is substantially produced to job specifications and is a value-added element to our work. The costs are considered to be incurred when title is transferred to us, which typically is upon delivery to the work site. Prefabricated materials, such as ductwork and piping, are generally performed at our shops and recognized as contract costs when fabricated for the unique specifications of the job. Other materials costs are not significant and are generally recorded when delivered to the work site. This measurement and comparison process requires updates to the estimate of total costs to complete the contract, and these updates may include subjective assessments and judgments.</w:t>
      </w:r>
    </w:p>
    <w:p>
      <w:pPr>
        <w:spacing w:after="0" w:line="116" w:lineRule="exact"/>
        <w:rPr>
          <w:sz w:val="20"/>
          <w:szCs w:val="20"/>
          <w:color w:val="auto"/>
        </w:rPr>
      </w:pPr>
    </w:p>
    <w:p>
      <w:pPr>
        <w:ind w:right="140" w:firstLine="648"/>
        <w:spacing w:after="0" w:line="220" w:lineRule="exact"/>
        <w:rPr>
          <w:sz w:val="20"/>
          <w:szCs w:val="20"/>
          <w:color w:val="auto"/>
        </w:rPr>
      </w:pPr>
      <w:r>
        <w:rPr>
          <w:rFonts w:ascii="Times New Roman" w:cs="Times New Roman" w:eastAsia="Times New Roman" w:hAnsi="Times New Roman"/>
          <w:sz w:val="18"/>
          <w:szCs w:val="18"/>
          <w:color w:val="auto"/>
        </w:rPr>
        <w:t>We generally do not incur significant incremental costs related to obtaining or fulfilling a contract prior to the start of a project. On rare occasions, when significant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 costs are incurred, they are capitalized and amortized on a percentage of completion basis over the life of the contract. Capitalized costs associated with unsuccessful contract bids are written off in the period that we are informed that we will not be awarded the contract.</w:t>
      </w:r>
    </w:p>
    <w:p>
      <w:pPr>
        <w:spacing w:after="0" w:line="1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Project contracts typically provide for a schedule of billings or invoices to the customer based on our job to date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or invoiced to the customer at any point during the contract. Amounts by which cumulative contract revenue recognized on a contract as of a given date exceed cumulative billings and unbilled receivables to the customer under the contract are reflected as a current asset in our balance sheet under the caption “Costs and estimated earnings in excess of billings” and “Unbilled accounts receivable.” Amounts by which cumulative billings to the customer under a contract as of a given date exceed cumulative contract revenue recognized on the contract are reflected as a current liability in our balance sheet under the caption “Billings in excess of costs and estimated earnings.”</w:t>
      </w:r>
    </w:p>
    <w:p>
      <w:pPr>
        <w:spacing w:after="0" w:line="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percentage of completion method of accounting is also affected by changes in job performance, job conditions, and final contract settlements. These factors may result in revisions to estimated costs and, therefore, revenue. Such revisions are frequently based on further estimates and subjective assessments. The effects of these revisions are recognized in the period in which revisions are determined. When such revisions lead to a conclusion that a loss will be recognized on a contract, the full amount of the estimated ultimate loss is recognized in the period such conclusion is reached, regardless of the percentage of completion of the contract.</w:t>
      </w:r>
    </w:p>
    <w:p>
      <w:pPr>
        <w:spacing w:after="0" w:line="9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Revisions to project costs and conditions can give rise to change orders under which the customer agrees to pay additional contract price. Revisions can also result in claims we might make against the customer to recover project variances that have not been satisfactorily addressed through change orders with the customer. Except in certain circumstances, we do not recognize revenue or margin based on change orders or claims until they have been agreed upon with the customer. The amount of revenue associated with unapproved change orders and claims was immaterial for the year ended December 31, 2018.</w:t>
      </w:r>
    </w:p>
    <w:p>
      <w:pPr>
        <w:spacing w:after="0" w:line="10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Variations from estimated project costs could have a significant impact on our operating results, depending on project size, and the recoverability of the variation via additional customer payments.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Allowance for Doubtful Accounts</w:t>
      </w:r>
    </w:p>
    <w:p>
      <w:pPr>
        <w:spacing w:after="0" w:line="16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estimate the collectability of accounts receivable and provide an allowance for doubtful accounts for receivable amounts we believe we will not ultimately collect. This requires us to make certain judgments and estimates involving, among others, the creditworthiness of our customers, prior collection history with our customers, ongoing relationships with our customers, the aging of past due balances, our lien rights, if any, in the property where we performed the work, and the availability, if any, of payment bonds applicable to the contract. These estimates are evaluated and adjusted as needed when additional information is received.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i w:val="1"/>
          <w:iCs w:val="1"/>
          <w:color w:val="auto"/>
        </w:rPr>
        <w:t>Accounting for Self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Insurance Liabilities</w:t>
      </w:r>
    </w:p>
    <w:p>
      <w:pPr>
        <w:spacing w:after="0" w:line="158" w:lineRule="exact"/>
        <w:rPr>
          <w:sz w:val="20"/>
          <w:szCs w:val="20"/>
          <w:color w:val="auto"/>
        </w:rPr>
      </w:pPr>
    </w:p>
    <w:p>
      <w:pPr>
        <w:ind w:right="40" w:firstLine="648"/>
        <w:spacing w:after="0" w:line="224" w:lineRule="exact"/>
        <w:rPr>
          <w:sz w:val="20"/>
          <w:szCs w:val="20"/>
          <w:color w:val="auto"/>
        </w:rPr>
      </w:pPr>
      <w:r>
        <w:rPr>
          <w:rFonts w:ascii="Times New Roman" w:cs="Times New Roman" w:eastAsia="Times New Roman" w:hAnsi="Times New Roman"/>
          <w:sz w:val="18"/>
          <w:szCs w:val="18"/>
          <w:color w:val="auto"/>
        </w:rPr>
        <w:t>We are substantially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insured for workers’ compensation, employer’s liability, auto liability, general liability and employee group health claims in view of the relatively high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incident deductibles we absorb under our insurance arrangements for these risks. Losses are estimated and accrued based upon known facts, historical trends and industry averages. Estimated losses in excess of our deductible, which have not already been paid, are included in our accrual with a corresponding receivable from our insurance carrier. Loss estimates associated with the larger and longer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developing risks— workers’ compensation, auto liability and general liability—are reviewed by a third-party actuary quarterly.</w:t>
      </w:r>
    </w:p>
    <w:p>
      <w:pPr>
        <w:spacing w:after="0" w:line="12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these accruals are adequate. However, insurance liabilities are difficult to estimate due to unknown factors, including the severity of an injury, the determination of our liability in proportion to other parties, timely reporting of occurrences, ongoing treatment or loss mitigation, general trends in litigation recovery outcomes and the effectiveness of safety and risk management programs. Therefore, if actual experience differs from the assumptions and estimates used for recording the liabilities, adjustments may be required and would be recorded in the period that such experience becomes known.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Deferred Tax Assets</w:t>
      </w:r>
    </w:p>
    <w:p>
      <w:pPr>
        <w:spacing w:after="0" w:line="16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regularly evaluate valuation allowances established for deferred tax assets for which future realization is uncertain. We perform this evaluation quarterly. In assessing the realizability of deferred tax assets, we must consider whether it is more-likely-than-not some portion, or all, of the deferred tax assets will not be realized. We consider all available evidence, both positive and negative, in determining whether a valuation allowance is required. Such evidence includes the scheduled reversal of deferred tax liabilities, projected future taxable income, taxable income in prior carryback years and tax planning strategies in making this assessment, and judgment is required in considering the relative weight of negative and positive evidence.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recognize assets acquired and liabilities assumed in business combinations, including contingent assets and liabilities, based on fair value estimates as of the date of acquisition.</w:t>
      </w:r>
    </w:p>
    <w:p>
      <w:pPr>
        <w:spacing w:after="0" w:line="92" w:lineRule="exact"/>
        <w:rPr>
          <w:sz w:val="20"/>
          <w:szCs w:val="20"/>
          <w:color w:val="auto"/>
        </w:rPr>
      </w:pPr>
    </w:p>
    <w:p>
      <w:pPr>
        <w:ind w:firstLine="648"/>
        <w:spacing w:after="0" w:line="226" w:lineRule="exact"/>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—In certain acquisitions, we agree to pay additional amounts to sellers contingent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by the acquired businesses of certain predetermined profitability targets. We have recognized liabilities for these contingent obligations based on their estimated fair value at the date of acquisition with any differences between the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and the ultimate settlement of the obligations being recognized in income from operations.</w:t>
      </w:r>
    </w:p>
    <w:p>
      <w:pPr>
        <w:spacing w:after="0" w:line="96"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Contingent Assets and Liabilities</w:t>
      </w:r>
      <w:r>
        <w:rPr>
          <w:rFonts w:ascii="Times New Roman" w:cs="Times New Roman" w:eastAsia="Times New Roman" w:hAnsi="Times New Roman"/>
          <w:sz w:val="18"/>
          <w:szCs w:val="18"/>
          <w:color w:val="auto"/>
        </w:rPr>
        <w:t>—Assets and liabilities arising from contingencies are recognized at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date fair value when their respective fair values can be determined. If the fair values of such contingencies cannot be determined, they are recognized at the acquisition date if the contingencies are probable and an amount can be reasonably estimated. Acquisition date fair value estimates are revised as necessary if, and when, additional information regarding these contingencies becomes available to further define and quantify assets acquired and liabilities assumed.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Recoverability of Goodwill and Identifiable Intangible Assets</w:t>
      </w:r>
    </w:p>
    <w:p>
      <w:pPr>
        <w:spacing w:after="0" w:line="160" w:lineRule="exact"/>
        <w:rPr>
          <w:sz w:val="20"/>
          <w:szCs w:val="20"/>
          <w:color w:val="auto"/>
        </w:rPr>
      </w:pPr>
    </w:p>
    <w:p>
      <w:pPr>
        <w:ind w:right="460" w:firstLine="648"/>
        <w:spacing w:after="0" w:line="313" w:lineRule="auto"/>
        <w:rPr>
          <w:sz w:val="20"/>
          <w:szCs w:val="20"/>
          <w:color w:val="auto"/>
        </w:rPr>
      </w:pPr>
      <w:r>
        <w:rPr>
          <w:rFonts w:ascii="Times New Roman" w:cs="Times New Roman" w:eastAsia="Times New Roman" w:hAnsi="Times New Roman"/>
          <w:sz w:val="17"/>
          <w:szCs w:val="17"/>
          <w:color w:val="auto"/>
        </w:rPr>
        <w:t>Goodwill is the excess of purchase price over the fair value of the net assets of acquired businesses. We assess goodwill for impairment each year, and more frequently if circumstances suggest an impairment may have occurred.</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the carrying value of a given reporting unit exceeds its fair value, an impairment loss is recorded to the extent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implied fair value of the goodwill of the reporting unit is less than its carrying value. If other reporting units have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fair value, such increases may not be recorded. Accordingly, such increases may not be netted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at other reporting units. The requirements for assessing whether goodwill has been impaired involve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information. This information, and its use in assessing goodwill, entails some degree of subjective assessment.</w:t>
      </w:r>
    </w:p>
    <w:p>
      <w:pPr>
        <w:spacing w:after="0" w:line="13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perform our annual impairment testing as of October 1 and any impairment charges resulting from this process are reported in the fourth quarter. We segregate our operations into reporting units based on the degree of operating and financial independence of each unit and our related management of them. We perform our annual goodwill impairment testing at the reporting unit level. Each of our operating units represents an operating segment, and our operating segments are our reporting units.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20" w:lineRule="exact"/>
        <w:rPr>
          <w:sz w:val="20"/>
          <w:szCs w:val="20"/>
          <w:color w:val="auto"/>
        </w:rPr>
      </w:pPr>
      <w:r>
        <w:rPr>
          <w:rFonts w:ascii="Times New Roman" w:cs="Times New Roman" w:eastAsia="Times New Roman" w:hAnsi="Times New Roman"/>
          <w:sz w:val="18"/>
          <w:szCs w:val="18"/>
          <w:color w:val="auto"/>
        </w:rPr>
        <w:t>In the evaluation of goodwill for impairment, we have the option to first assess qualitative factors to determine whether the existence of events or circumstances lead to a determination that it is more likely than not that the fair value of one of our reporting units is greater than its carrying value. If, after completing such assessment, we determine it is more likely than not that the fair value of a reporting unit is greater than its carrying amount, then there is no need to perform any further testing. If we conclude otherwise, then we perform the first step of a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step impairment test by calculating the fair value of the reporting unit and comparing the fair value with the carrying value of the reporting unit.</w:t>
      </w:r>
    </w:p>
    <w:p>
      <w:pPr>
        <w:spacing w:after="0" w:line="158"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We estimate the fair value of the reporting unit based on a market approach and an income approach, which utilizes discounted future cash flows. Assumptions critical to the fair value estimates under the discounted cash flow model include discount rates, cash flow projections, projected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rates and the determination of terminal values. The market approach utilized market multiples of invested capital from comparable publicly traded companies (“public company approach”). The market multiples from invested capital include revenue, book equity plus debt and earnings before interest, provision for income taxes, depreciation and amortization (“EBITDA”).</w:t>
      </w:r>
    </w:p>
    <w:p>
      <w:pPr>
        <w:spacing w:after="0" w:line="171"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There are significant inherent uncertainties and management judgment involved in estimating the fair value of each reporting unit. While we believe we have made reasonable estimates and assumptions to estimate the fair value of our reporting units, it is possible that a material change could occur. If actual results are not consistent with our current estimates and assumptions, or the current economic outlook worsens, goodwill impairment charges may be recorded in future periods.</w:t>
      </w:r>
    </w:p>
    <w:p>
      <w:pPr>
        <w:spacing w:after="0" w:line="12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amortize identifiable intangible assets with finite lives over their useful lives. Changes in strategy and/or market condition, may result in adjustments to recorded intangible asset balances or their useful lives.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2,182,879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1,634,340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1,736,600</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1,421,641</w:t>
            </w:r>
          </w:p>
        </w:tc>
        <w:tc>
          <w:tcPr>
            <w:tcW w:w="9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79.5 %</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1,290,331</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79.0 %</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446,279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296,986</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266,586</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14.9 %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940" w:type="dxa"/>
            <w:vAlign w:val="bottom"/>
            <w:gridSpan w:val="3"/>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60" w:type="dxa"/>
            <w:vAlign w:val="bottom"/>
            <w:gridSpan w:val="4"/>
          </w:tcPr>
          <w:p>
            <w:pPr>
              <w:jc w:val="right"/>
              <w:ind w:right="38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150,238</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99,260</w:t>
            </w:r>
          </w:p>
        </w:tc>
        <w:tc>
          <w:tcPr>
            <w:tcW w:w="920" w:type="dxa"/>
            <w:vAlign w:val="bottom"/>
            <w:tcBorders>
              <w:top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101,569</w:t>
            </w:r>
          </w:p>
        </w:tc>
        <w:tc>
          <w:tcPr>
            <w:tcW w:w="9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940" w:type="dxa"/>
            <w:vAlign w:val="bottom"/>
            <w:gridSpan w:val="3"/>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60" w:type="dxa"/>
            <w:vAlign w:val="bottom"/>
            <w:gridSpan w:val="4"/>
          </w:tcPr>
          <w:p>
            <w:pPr>
              <w:jc w:val="right"/>
              <w:ind w:right="38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fair value of contingent earn-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out obligations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148,676</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45,666</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36,165</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55,272</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2018 Compared to 2017</w:t>
      </w:r>
    </w:p>
    <w:p>
      <w:pPr>
        <w:spacing w:after="0" w:line="229" w:lineRule="exact"/>
        <w:rPr>
          <w:sz w:val="20"/>
          <w:szCs w:val="20"/>
          <w:color w:val="auto"/>
        </w:rPr>
      </w:pPr>
    </w:p>
    <w:p>
      <w:pPr>
        <w:ind w:right="40" w:firstLine="648"/>
        <w:spacing w:after="0" w:line="219" w:lineRule="exact"/>
        <w:rPr>
          <w:sz w:val="20"/>
          <w:szCs w:val="20"/>
          <w:color w:val="auto"/>
        </w:rPr>
      </w:pPr>
      <w:r>
        <w:rPr>
          <w:rFonts w:ascii="Times New Roman" w:cs="Times New Roman" w:eastAsia="Times New Roman" w:hAnsi="Times New Roman"/>
          <w:sz w:val="18"/>
          <w:szCs w:val="18"/>
          <w:color w:val="auto"/>
        </w:rPr>
        <w:t>We had 36 operating locations as of December 31, 2017. In the third quarter of 2018, we completed one acquisition of a company that reports as a separate operating location in Indiana (the “Indiana acquisition”). Furthermore, in the fourth quarter of 2018, we combined two operating locations into one. As of December 31, 2018, we had 36 operating locations. Acquisitions are included in our results of operations from the respective acquisition date. The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comparison from 2018 to 2017, as described below, excludes six months of results for the Indiana acquisition, which was acquired in July 2018, as well as the first three months of 2018 for BCH, which was acquired in April 2017. An operating location is included in the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comparison on the first day it has comparable prior year operating data, except for immaterial acquisitions that were absorbed and integrated, or “tucked-in,” with existing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right="120" w:firstLine="648"/>
        <w:spacing w:after="0" w:line="221" w:lineRule="exact"/>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—Revenue increased $395.0 million, or 22.1% to $2.18 billion in 2018 compared to 2017. The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a 5.1% increase related to the Indiana and BCH acquisitions and a 17.0% increase in revenue related to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activity. The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revenue increase was broad-based, including an increase in activity at our North Carolina operation ($123.6 million), one of our Virginia operations ($25.4 million) and our Wisconsin operation ($23.0 million).</w:t>
      </w:r>
    </w:p>
    <w:p>
      <w:pPr>
        <w:spacing w:after="0" w:line="19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Backlog reflects revenue still to be recognized under contracted or committed installation and replacement project work. Project work generally lasts less than one year. Service agreement revenue, service work and short duration projects, which are generally billed as performed, do not flow through backlog. Accordingly, backlog represents only a portion of our revenue for any given future period, and it represents revenue that is likely to be reflected in our operating results over the next six to twelve months. As a result, we believe the predictive value of backlog information is limited to indications of general revenue direction over the near term and should not be interpreted as indicative of ongoing revenue performance over several quarters.</w:t>
      </w:r>
    </w:p>
    <w:p>
      <w:pPr>
        <w:spacing w:after="0" w:line="189" w:lineRule="exact"/>
        <w:rPr>
          <w:sz w:val="20"/>
          <w:szCs w:val="20"/>
          <w:color w:val="auto"/>
        </w:rPr>
      </w:pPr>
    </w:p>
    <w:p>
      <w:pPr>
        <w:ind w:right="580" w:firstLine="648"/>
        <w:spacing w:after="0" w:line="270" w:lineRule="auto"/>
        <w:rPr>
          <w:sz w:val="20"/>
          <w:szCs w:val="20"/>
          <w:color w:val="auto"/>
        </w:rPr>
      </w:pPr>
      <w:r>
        <w:rPr>
          <w:rFonts w:ascii="Times New Roman" w:cs="Times New Roman" w:eastAsia="Times New Roman" w:hAnsi="Times New Roman"/>
          <w:sz w:val="17"/>
          <w:szCs w:val="17"/>
          <w:color w:val="auto"/>
        </w:rPr>
        <w:t>Backlog as of December 31, 2018 was $1.17 billion, a 7.1% decrease from September 30, 2018 backlog of $1.25 billion and a 23.0% increase from December 31, 2017 backlog of $948.4 million. Sequential backlog decreased primarily due to completion of project work at our Wisconsin operation ($25.5 million), our North Carolina operation</w:t>
      </w:r>
    </w:p>
    <w:p>
      <w:pPr>
        <w:spacing w:after="0" w:line="2"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($25.1 million) and one of our Virginia operations ($17.0 million). The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backlog increase included the Indiana acquisition ($27.2 million or 2.9%). Same-store backlog increased 20.1% primarily due to increased project bookings at BCH ($68.5 million), one of our Virginia operations ($61.1 million) and our Alabama operation ($33.9 million).</w:t>
      </w:r>
    </w:p>
    <w:p>
      <w:pPr>
        <w:spacing w:after="0" w:line="197"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—Gross profit increased $80.0 million, or 21.8%, to $446.3 million in 2018 as compared to 2017.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included a $12.0 million, or 3.3%, increase related to the Indiana and BCH acquisitions and a $68.0 million, or</w:t>
      </w:r>
    </w:p>
    <w:p>
      <w:pPr>
        <w:spacing w:after="0" w:line="1" w:lineRule="exact"/>
        <w:rPr>
          <w:sz w:val="20"/>
          <w:szCs w:val="20"/>
          <w:color w:val="auto"/>
        </w:rPr>
      </w:pPr>
    </w:p>
    <w:p>
      <w:pPr>
        <w:ind w:right="220"/>
        <w:spacing w:after="0" w:line="217" w:lineRule="exact"/>
        <w:rPr>
          <w:sz w:val="20"/>
          <w:szCs w:val="20"/>
          <w:color w:val="auto"/>
        </w:rPr>
      </w:pPr>
      <w:r>
        <w:rPr>
          <w:rFonts w:ascii="Times New Roman" w:cs="Times New Roman" w:eastAsia="Times New Roman" w:hAnsi="Times New Roman"/>
          <w:sz w:val="18"/>
          <w:szCs w:val="18"/>
          <w:color w:val="auto"/>
        </w:rPr>
        <w:t>18.5%, increase on a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basis. The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increase in gross profit was primarily due to increased volumes and improvement in project execution at our North Carolina operation ($23.3 million), BCH ($9.1 million) and our Wisconsin operation ($6.8 million). As a percentage of revenue, gross profit remained relatively consistent at 20.4% in 2018 as compared to 20.5% in 2017 due to the improvement in project execution at our North Carolina operation, offset by job underperformance at our California operation ($3.7 million).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r>
        <w:rPr>
          <w:rFonts w:ascii="Times New Roman" w:cs="Times New Roman" w:eastAsia="Times New Roman" w:hAnsi="Times New Roman"/>
          <w:sz w:val="18"/>
          <w:szCs w:val="18"/>
          <w:color w:val="auto"/>
        </w:rPr>
        <w:t>—SG&amp;A increased $30.4 million, or 11.4%, to</w:t>
      </w:r>
    </w:p>
    <w:p>
      <w:pPr>
        <w:spacing w:after="0" w:line="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$297.0 million for 2018 as compared to 2017. On a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basis, excluding amortization expense, SG&amp;A increased</w:t>
      </w:r>
    </w:p>
    <w:p>
      <w:pPr>
        <w:spacing w:after="0" w:line="1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$17.0 million, or 6.7%. This increase is primarily due to the increase in revenue and increased compensation costs related to higher earnings compared to the prior year. Additionally, we had an increase in bad debt expense in 2018 of $3.4 million due to three recent bankruptcy filings of retail customers ($1.2 million) and due to bad debt charges at our California operating location. As a percentage of revenue, SG&amp;A decreased from 14.9% in 2017 to 13.6% in 2018.</w:t>
      </w:r>
    </w:p>
    <w:p>
      <w:pPr>
        <w:spacing w:after="0" w:line="18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have included same-store SG&amp;A, excluding amortization, because we believe it is an effective measure of comparative results of operations. However, same-store SG&amp;A, excluding amortization, is not considered under generally accepted accounting principles to be a primary measure of an entity’s financial results, and accordingly, should not be considered an alternative to SG&amp;A as shown in our consolidated statements of operations.</w:t>
      </w:r>
    </w:p>
    <w:p>
      <w:pPr>
        <w:spacing w:after="0" w:line="187"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4"/>
          </w:tcPr>
          <w:p>
            <w:pPr>
              <w:jc w:val="right"/>
              <w:ind w:right="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7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296,986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266,586</w:t>
            </w: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 SG&amp;A from companies acquired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Amortization expense</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60" w:type="dxa"/>
            <w:vAlign w:val="bottom"/>
            <w:shd w:val="clear" w:color="auto" w:fill="CCEEFF"/>
          </w:tcPr>
          <w:p>
            <w:pPr>
              <w:spacing w:after="0"/>
              <w:rPr>
                <w:sz w:val="18"/>
                <w:szCs w:val="18"/>
                <w:color w:val="auto"/>
              </w:rPr>
            </w:pPr>
          </w:p>
        </w:tc>
      </w:tr>
      <w:tr>
        <w:trPr>
          <w:trHeight w:val="21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Same-store SG&amp;A, excluding amortization expense</w:t>
            </w:r>
          </w:p>
        </w:tc>
        <w:tc>
          <w:tcPr>
            <w:tcW w:w="50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271,819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254,827</w:t>
            </w:r>
          </w:p>
        </w:tc>
        <w:tc>
          <w:tcPr>
            <w:tcW w:w="60" w:type="dxa"/>
            <w:vAlign w:val="bottom"/>
          </w:tcPr>
          <w:p>
            <w:pPr>
              <w:spacing w:after="0"/>
              <w:rPr>
                <w:sz w:val="18"/>
                <w:szCs w:val="18"/>
                <w:color w:val="auto"/>
              </w:rPr>
            </w:pPr>
          </w:p>
        </w:tc>
      </w:tr>
    </w:tbl>
    <w:p>
      <w:pPr>
        <w:spacing w:after="0" w:line="196"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—Interest expense increased $0.6 million, or 17.6%, in 2018. The increase reflects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variable interest rate on our revolving credit facility as well as an increase in notes to former owners as a result of our recent acquisitions.</w:t>
      </w:r>
    </w:p>
    <w:p>
      <w:pPr>
        <w:spacing w:after="0" w:line="147" w:lineRule="exact"/>
        <w:rPr>
          <w:sz w:val="20"/>
          <w:szCs w:val="20"/>
          <w:color w:val="auto"/>
        </w:rPr>
      </w:pPr>
    </w:p>
    <w:p>
      <w:pPr>
        <w:ind w:right="140" w:firstLine="648"/>
        <w:spacing w:after="0" w:line="239" w:lineRule="exact"/>
        <w:rPr>
          <w:sz w:val="20"/>
          <w:szCs w:val="20"/>
          <w:color w:val="auto"/>
        </w:rPr>
      </w:pPr>
      <w:r>
        <w:rPr>
          <w:rFonts w:ascii="Times New Roman" w:cs="Times New Roman" w:eastAsia="Times New Roman" w:hAnsi="Times New Roman"/>
          <w:sz w:val="18"/>
          <w:szCs w:val="18"/>
          <w:i w:val="1"/>
          <w:iCs w:val="1"/>
          <w:color w:val="auto"/>
        </w:rPr>
        <w:t>Changes in the Fair Value of Contingent Earn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out Obligations</w:t>
      </w:r>
      <w:r>
        <w:rPr>
          <w:rFonts w:ascii="Times New Roman" w:cs="Times New Roman" w:eastAsia="Times New Roman" w:hAnsi="Times New Roman"/>
          <w:sz w:val="18"/>
          <w:szCs w:val="18"/>
          <w:color w:val="auto"/>
        </w:rPr>
        <w:t>—The contingent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obligations are measured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fair value each reporting period and changes in estimates of fair value are recognized in earnings. Income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1" w:lineRule="exact"/>
        <w:rPr>
          <w:sz w:val="20"/>
          <w:szCs w:val="20"/>
          <w:color w:val="auto"/>
        </w:rPr>
      </w:pPr>
    </w:p>
    <w:p>
      <w:pPr>
        <w:ind w:right="60"/>
        <w:spacing w:after="0" w:line="224" w:lineRule="exact"/>
        <w:rPr>
          <w:sz w:val="20"/>
          <w:szCs w:val="20"/>
          <w:color w:val="auto"/>
        </w:rPr>
      </w:pPr>
      <w:r>
        <w:rPr>
          <w:rFonts w:ascii="Times New Roman" w:cs="Times New Roman" w:eastAsia="Times New Roman" w:hAnsi="Times New Roman"/>
          <w:sz w:val="18"/>
          <w:szCs w:val="18"/>
          <w:color w:val="auto"/>
        </w:rPr>
        <w:t>from changes in the fair value of contingent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obligations decreased $5.8 million in 2018 compared to 2017. The loss from changes in the fair value of contingent earn out obligations in 2018 was primarily driven by higher than previously projected earnings from BCH, which increased the value of the earn-out. The income from changes in the fair value of contingent earn-out obligations for 2017 resulted from reducing our obligation related to the BCH acquisition primarily due to results being below the initial estimate as a result of the impact of Hurricane Irma and less project activity than previously estimated.</w:t>
      </w:r>
    </w:p>
    <w:p>
      <w:pPr>
        <w:spacing w:after="0" w:line="199"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Other Income</w:t>
      </w:r>
      <w:r>
        <w:rPr>
          <w:rFonts w:ascii="Times New Roman" w:cs="Times New Roman" w:eastAsia="Times New Roman" w:hAnsi="Times New Roman"/>
          <w:sz w:val="17"/>
          <w:szCs w:val="17"/>
          <w:color w:val="auto"/>
        </w:rPr>
        <w:t>—Other income increased $3.1 million, or 294.8% in 2018 as compared to 2017. In April 2018,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entered into settlement agreements with British Petroleum (“BP”) related to two claims from one of our subsidiaries regarding the April 2010 BP Deepwater Horizon oil spill. We recorded a gain of $4.0 million in the second quarter of 2018 as a result of these settlements. Additionally, in the fourth quarter of 2017, we entered into a separate settlement agreement with BP related to two claims from another one of our subsidiaries and recorded a $1.0 million gain in the fourth quarter of 2017 in “Other Income”. We do not have any remaining subsidiaries with outstanding claims against BP related to this matter.</w:t>
      </w:r>
    </w:p>
    <w:p>
      <w:pPr>
        <w:spacing w:after="0" w:line="169"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—We conduct business throughout the United States in virtually all fifty states.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changes based upon our relative profitability, or lack thereof, in states with varying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tax reserves for uncertain tax positions, accounting for losses associated with underperforming operations and noncontrolling interests.</w:t>
      </w:r>
    </w:p>
    <w:p>
      <w:pPr>
        <w:spacing w:after="0" w:line="18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effective tax rate for 2018 was 24.1%, as compared to 45.2% in 2017. The effective rate for 2018 was higher than the 21% federal statutory rate primarily due to net state income taxes (5.0%) and nondeductible expenses (1.3%), partially offset by a decrease in unrecognized tax benefits from the filing of a federal income tax automatic accounting method change application (1.9%) and deductions for stock-based compensation (0.9%). The effective rate for 2017 was higher than the 35% federal statutory rate primarily due to the remeasurement of net deferred tax assets for the corporate tax rate reduction to 21% (9.4%) and net state income taxes (2.8%), partially offset by the domestic production activities deduction (2.1%) and deductions for stock-based compensation (1.3%). Refer to Note 9 in the Consolidated Financial Statements for a reconciliation of the federal statutory rate to the effective tax rate reflected in our financial statements.</w:t>
      </w:r>
    </w:p>
    <w:p>
      <w:pPr>
        <w:spacing w:after="0" w:line="18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decrease in the effective tax rate from 2017 to 2018 was primarily due to the impact of the corporate tax rate reduction to 21%, partially offset by the repeal of the domestic production activities deduction pursuant to the Tax Cuts and Jobs Act and the decrease in unrecognized tax benefits from the filing of a federal income tax automatic accounting method change application.</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currently estimate our effective tax rate for 2019 will be between 25% and 30%. We generally expect our tax rate in 2019 to be higher than 2018 due to the nonrecurring benefit from the decrease in unrecognized tax benefits from the filing of a federal income tax automatic accounting method change application.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2017 Compared to 2016</w:t>
      </w:r>
    </w:p>
    <w:p>
      <w:pPr>
        <w:spacing w:after="0" w:line="229"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We had 35 operating locations as of December 31, 2016. During 2017, we completed one acquisition in the second quarter of 2017, known as “BCH”, that reports as a separate operating location in the Tampa, Florida area. Other than the addition of BCH, we did not make any changes to operating locations. As of December 31, 2017, we had 36 operating locations. Acquisitions are included in our results of operations from the respective acquisition date. The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comparison from 2017 to 2016, as described below, excludes nine months of results for BCH, which was acquired in April 2017 as well as the first month of 2017 for Shoffner, which was acquired in February 2016. An operating location is included in the same-store comparison on the first day it has comparable prior year operating data, except for immaterial acquisitions that were absorbed and integrated, or “tucked-in,” with existing operations.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—Revenue increased $153.6 million, or 9.4% to $1.79 billion in 2017 compared to 2016. The increase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a 6.4% increase related to the acquisitions of BCH and Shoffner and a 3.0% increase in revenue related to</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activity. The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revenue increase was primarily due to one of our Virginia operations ($24.1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Wisconsin operation ($22.9 million), which experienced increased large project work compared to the prior year,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in the industrial sector.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Backlog reflects revenue still to be recognized under contracted or committed installation and replacement project work. Project work generally lasts less than one year. Service agreement revenue and service work and short duration projects, which are generally billed as performed, do not flow through backlog. Accordingly, backlog represents only a portion of our revenue for any given future period, and it represents revenue that is likely to be reflected in our operating results over the next six to twelve months. As a result, we believe the predictive value of backlog information is limited to indications of general revenue direction over the near term and should not be interpreted as indicative of ongoing revenue performance over several quarters.</w:t>
      </w:r>
    </w:p>
    <w:p>
      <w:pPr>
        <w:spacing w:after="0" w:line="189" w:lineRule="exact"/>
        <w:rPr>
          <w:sz w:val="20"/>
          <w:szCs w:val="20"/>
          <w:color w:val="auto"/>
        </w:rPr>
      </w:pPr>
    </w:p>
    <w:p>
      <w:pPr>
        <w:ind w:right="80" w:firstLine="648"/>
        <w:spacing w:after="0" w:line="220" w:lineRule="exact"/>
        <w:rPr>
          <w:sz w:val="20"/>
          <w:szCs w:val="20"/>
          <w:color w:val="auto"/>
        </w:rPr>
      </w:pPr>
      <w:r>
        <w:rPr>
          <w:rFonts w:ascii="Times New Roman" w:cs="Times New Roman" w:eastAsia="Times New Roman" w:hAnsi="Times New Roman"/>
          <w:sz w:val="18"/>
          <w:szCs w:val="18"/>
          <w:color w:val="auto"/>
        </w:rPr>
        <w:t>Backlog as of December 31, 2017 was $948.4 million, a 5.2% increase from September 30, 2017 backlog of $901.2 million and a 24.2% increase from December 31, 2016 backlog of $763.4 million. Sequential backlog increased primarily due to increased project bookings at our North Carolina operation ($43.0 million). The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backlog increase included the acquisition of BCH ($30.0 million or 3.9%). Same-store backlog increased 20.3% primarily due to increased project bookings at our North Carolina operation ($63.3 million), one of our Virginia operations ($39.0 million) and our Colorado operation ($37.3 million).</w:t>
      </w:r>
    </w:p>
    <w:p>
      <w:pPr>
        <w:spacing w:after="0" w:line="196" w:lineRule="exact"/>
        <w:rPr>
          <w:sz w:val="20"/>
          <w:szCs w:val="20"/>
          <w:color w:val="auto"/>
        </w:rPr>
      </w:pPr>
    </w:p>
    <w:p>
      <w:pPr>
        <w:ind w:right="240" w:firstLine="648"/>
        <w:spacing w:after="0" w:line="274"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—Gross profit increased $22.3 million, or 6.5%, to $366.3 million in 2017 as compared to 2016.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included a $18.3 million, or 5.3%, increase related to the acquisitions of BCH and Shoffner and a $4.0 million, or</w:t>
      </w:r>
    </w:p>
    <w:p>
      <w:pPr>
        <w:spacing w:after="0" w:line="1" w:lineRule="exact"/>
        <w:rPr>
          <w:sz w:val="20"/>
          <w:szCs w:val="20"/>
          <w:color w:val="auto"/>
        </w:rPr>
      </w:pPr>
    </w:p>
    <w:p>
      <w:pPr>
        <w:ind w:right="60"/>
        <w:spacing w:after="0" w:line="217" w:lineRule="exact"/>
        <w:rPr>
          <w:sz w:val="20"/>
          <w:szCs w:val="20"/>
          <w:color w:val="auto"/>
        </w:rPr>
      </w:pPr>
      <w:r>
        <w:rPr>
          <w:rFonts w:ascii="Times New Roman" w:cs="Times New Roman" w:eastAsia="Times New Roman" w:hAnsi="Times New Roman"/>
          <w:sz w:val="18"/>
          <w:szCs w:val="18"/>
          <w:color w:val="auto"/>
        </w:rPr>
        <w:t>1.2%, increase on a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basis. The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increase in gross profit was primarily due to increased volumes at our Wisconsin operation ($6.9 million) and our New Hampshire operation ($3.7 million). This was partially offset by a decrease at our North Carolina operation ($6.4 million), which has experienced lower project activity when compared to the same period in 2016. As a percentage of revenue, gross profit decreased from 21.0% in 2016 to 20.5% in 2017 primarily due to a $3.6 million increase in amortization expense, primarily related to the BCH acquisition, as well as the factors discussed above.</w:t>
      </w:r>
    </w:p>
    <w:p>
      <w:pPr>
        <w:spacing w:after="0" w:line="225"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r>
        <w:rPr>
          <w:rFonts w:ascii="Times New Roman" w:cs="Times New Roman" w:eastAsia="Times New Roman" w:hAnsi="Times New Roman"/>
          <w:sz w:val="18"/>
          <w:szCs w:val="18"/>
          <w:color w:val="auto"/>
        </w:rPr>
        <w:t>— SG&amp;A increased $23.4 million, or 9.6%, to $266.6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2017 as compared to 2016. On a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basis, excluding amortization expense, SG&amp;A increased $7.3 million, or 3.1%. This increase is primarily due to $0.8 million in compensation costs related to leadership changes and the increase in same-store revenue. Additionally, we incurred $0.4 million in expenses in the first quarter of 2017 related to the acquisition of BCH completed on April 1, 2017. Amortization expense increased $5.6 million during the period primarily as a result of the BCH acquisition. As a percentage of revenue, SG&amp;A was 14.9% in both 2017 and 2016.</w:t>
      </w:r>
    </w:p>
    <w:p>
      <w:pPr>
        <w:spacing w:after="0" w:line="172" w:lineRule="exact"/>
        <w:rPr>
          <w:sz w:val="20"/>
          <w:szCs w:val="20"/>
          <w:color w:val="auto"/>
        </w:rPr>
      </w:pPr>
    </w:p>
    <w:p>
      <w:pPr>
        <w:ind w:right="260" w:firstLine="648"/>
        <w:spacing w:after="0" w:line="228" w:lineRule="exact"/>
        <w:rPr>
          <w:sz w:val="20"/>
          <w:szCs w:val="20"/>
          <w:color w:val="auto"/>
        </w:rPr>
      </w:pPr>
      <w:r>
        <w:rPr>
          <w:rFonts w:ascii="Times New Roman" w:cs="Times New Roman" w:eastAsia="Times New Roman" w:hAnsi="Times New Roman"/>
          <w:sz w:val="18"/>
          <w:szCs w:val="18"/>
          <w:color w:val="auto"/>
        </w:rPr>
        <w:t>We have included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SG&amp;A, excluding amortization, because we believe it is an effective measure of comparative results of operations. However,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SG&amp;A, excluding amortization, is not considered under generally accepted accounting principles to be a primary measure of an entity’s financial results, and accordingly, should not be considered an alternative to SG&amp;A as shown in our consolidated statements of operations.</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4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4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3"/>
                <w:szCs w:val="13"/>
                <w:color w:val="auto"/>
              </w:rPr>
            </w:pPr>
          </w:p>
        </w:tc>
      </w:tr>
      <w:tr>
        <w:trPr>
          <w:trHeight w:val="156"/>
        </w:trPr>
        <w:tc>
          <w:tcPr>
            <w:tcW w:w="4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4"/>
          </w:tcPr>
          <w:p>
            <w:pPr>
              <w:jc w:val="center"/>
              <w:ind w:left="39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7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243,201</w:t>
            </w:r>
          </w:p>
        </w:tc>
        <w:tc>
          <w:tcPr>
            <w:tcW w:w="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Less: SG&amp;A from companies acquired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Amortization expense</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60" w:type="dxa"/>
            <w:vAlign w:val="bottom"/>
            <w:shd w:val="clear" w:color="auto" w:fill="CCEEFF"/>
          </w:tcPr>
          <w:p>
            <w:pPr>
              <w:spacing w:after="0"/>
              <w:rPr>
                <w:sz w:val="18"/>
                <w:szCs w:val="18"/>
                <w:color w:val="auto"/>
              </w:rPr>
            </w:pPr>
          </w:p>
        </w:tc>
      </w:tr>
      <w:tr>
        <w:trPr>
          <w:trHeight w:val="21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Same-store SG&amp;A, excluding amortization expense</w:t>
            </w:r>
          </w:p>
        </w:tc>
        <w:tc>
          <w:tcPr>
            <w:tcW w:w="56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244,334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237,036</w:t>
            </w:r>
          </w:p>
        </w:tc>
        <w:tc>
          <w:tcPr>
            <w:tcW w:w="60" w:type="dxa"/>
            <w:vAlign w:val="bottom"/>
          </w:tcPr>
          <w:p>
            <w:pPr>
              <w:spacing w:after="0"/>
              <w:rPr>
                <w:sz w:val="18"/>
                <w:szCs w:val="18"/>
                <w:color w:val="auto"/>
              </w:rPr>
            </w:pPr>
          </w:p>
        </w:tc>
      </w:tr>
    </w:tbl>
    <w:p>
      <w:pPr>
        <w:spacing w:after="0" w:line="196"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—Interest expense increased $0.8 million, or 34.6%, in 2017. The increase reflects the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on the revolving credit facility as well as notes to former owners used to fund the BCH acquisition during the second quarter of 2017.</w:t>
      </w:r>
    </w:p>
    <w:p>
      <w:pPr>
        <w:spacing w:after="0" w:line="147" w:lineRule="exact"/>
        <w:rPr>
          <w:sz w:val="20"/>
          <w:szCs w:val="20"/>
          <w:color w:val="auto"/>
        </w:rPr>
      </w:pPr>
    </w:p>
    <w:p>
      <w:pPr>
        <w:ind w:right="80" w:firstLine="648"/>
        <w:spacing w:after="0" w:line="223" w:lineRule="exact"/>
        <w:rPr>
          <w:sz w:val="20"/>
          <w:szCs w:val="20"/>
          <w:color w:val="auto"/>
        </w:rPr>
      </w:pPr>
      <w:r>
        <w:rPr>
          <w:rFonts w:ascii="Times New Roman" w:cs="Times New Roman" w:eastAsia="Times New Roman" w:hAnsi="Times New Roman"/>
          <w:sz w:val="18"/>
          <w:szCs w:val="18"/>
          <w:i w:val="1"/>
          <w:iCs w:val="1"/>
          <w:color w:val="auto"/>
        </w:rPr>
        <w:t>Changes in the Fair Value of Contingent Earn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out Obligations</w:t>
      </w:r>
      <w:r>
        <w:rPr>
          <w:rFonts w:ascii="Times New Roman" w:cs="Times New Roman" w:eastAsia="Times New Roman" w:hAnsi="Times New Roman"/>
          <w:sz w:val="18"/>
          <w:szCs w:val="18"/>
          <w:color w:val="auto"/>
        </w:rPr>
        <w:t>—The contingent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obligations are measured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fair value each reporting period and changes in estimates of fair value are recognized in earnings. Income from changes in the fair value of contingent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obligations increased $3.0 million in 2017 compared to 2016. This increase was the result of reducing our obligation related to the BCH acquisition primarily due to results being below the initial estimate as a result of the impact of Hurricane Irma and less project activity than previously estimated. In 2016, based on updated measurements of estimated future cash flows for our contingent obligations, we reduced our obligation related to the EAS acquisition resulting in a gain of $0.8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—Other income remained relatively flat in 2017 compared to 2016. In the fourth quarter of 2017,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settlement agreements with British Petroleum (“BP”) related to two claims from one of our subsidiaries regarding the April 2010 BP Deepwater Horizon oil spill. We recorded a $1.0 million gain in the fourth quarter of 2017 in “Other Income” as a result of these settlements. Additionally, in the fourth quarter of 2016, we entered into a separate settlement agreement with BP related to a claim from another one of our subsidiaries and recorded a $0.6 million gain in the fourth quarter of 2016 in “Other Income”.</w:t>
      </w:r>
    </w:p>
    <w:p>
      <w:pPr>
        <w:spacing w:after="0" w:line="210"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conduct business throughout the United States in virtually all fifty states.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changes based upon our relative profitability, or lack thereof, in states with varying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tax reserves for uncertain tax positions, accounting for losses associated with underperforming operations and noncontrolling interests.</w:t>
      </w:r>
    </w:p>
    <w:p>
      <w:pPr>
        <w:spacing w:after="0" w:line="185" w:lineRule="exact"/>
        <w:rPr>
          <w:sz w:val="20"/>
          <w:szCs w:val="20"/>
          <w:color w:val="auto"/>
        </w:rPr>
      </w:pPr>
    </w:p>
    <w:p>
      <w:pPr>
        <w:jc w:val="both"/>
        <w:ind w:right="240" w:firstLine="648"/>
        <w:spacing w:after="0" w:line="272" w:lineRule="auto"/>
        <w:rPr>
          <w:sz w:val="20"/>
          <w:szCs w:val="20"/>
          <w:color w:val="auto"/>
        </w:rPr>
      </w:pPr>
      <w:r>
        <w:rPr>
          <w:rFonts w:ascii="Times New Roman" w:cs="Times New Roman" w:eastAsia="Times New Roman" w:hAnsi="Times New Roman"/>
          <w:sz w:val="17"/>
          <w:szCs w:val="17"/>
          <w:color w:val="auto"/>
        </w:rPr>
        <w:t>Our effective tax rate for 2017 was 45.2%, as compared to 35.8% in 2016. The effective rate for 2017 was higher than the 35% federal statutory rate primarily due to the remeasurement of net deferred tax assets for the corporate tax rate reduction to 21% (9.4%), net state income taxes (2.8%) partially offset by the domestic production activities deduction</w:t>
      </w:r>
    </w:p>
    <w:p>
      <w:pPr>
        <w:spacing w:after="0" w:line="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(2.1%) and deductions for stock-based compensation (1.3%). The effective rate for 2016 was higher than the 35% federal statutory rate primarily due to net state income taxes (4.2%) partially offset by the domestic production activities deduction (2.0%) and a decrease in valuation allowances (1.2%). Refer to Note 9 in the Consolidated Financial Statements for a reconciliation of the federal statutory rate to the effective tax rate reflected in our financial statements.</w:t>
      </w:r>
    </w:p>
    <w:p>
      <w:pPr>
        <w:spacing w:after="0" w:line="18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from 2016 to 2017 was primarily due to the impact from the remeasurement of net deferred tax assets for the corporate tax rate reduction to 21% pursuant to the Tax Cuts and Jobs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Industry conditions improved during the three-year period from 2016 to 2018 and we currently expect that activity will continue at these improved levels during 2019. Our emphasis for 2019 will be on cost discipline and efficient project performance, labor force development, and investing in growth, particularly in service and small projects. Based on our backlog, and in light of economic conditions, we currently expect that revenue and net earnings in 2019 will continue at the favorable levels we experienced in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85"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4"/>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114,090</w:t>
            </w:r>
          </w:p>
        </w:tc>
        <w:tc>
          <w:tcPr>
            <w:tcW w:w="200" w:type="dxa"/>
            <w:vAlign w:val="bottom"/>
          </w:tcPr>
          <w:p>
            <w:pPr>
              <w:spacing w:after="0"/>
              <w:rPr>
                <w:sz w:val="18"/>
                <w:szCs w:val="18"/>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91,188</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(79,318)</w:t>
            </w:r>
          </w:p>
        </w:tc>
        <w:tc>
          <w:tcPr>
            <w:tcW w:w="60" w:type="dxa"/>
            <w:vAlign w:val="bottom"/>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60" w:type="dxa"/>
            <w:vAlign w:val="bottom"/>
            <w:tcBorders>
              <w:bottom w:val="single" w:sz="8" w:color="CCEEFF"/>
            </w:tcBorders>
          </w:tcPr>
          <w:p>
            <w:pPr>
              <w:spacing w:after="0"/>
              <w:rPr>
                <w:sz w:val="18"/>
                <w:szCs w:val="18"/>
                <w:color w:val="auto"/>
              </w:rPr>
            </w:pPr>
          </w:p>
        </w:tc>
      </w:tr>
      <w:tr>
        <w:trPr>
          <w:trHeight w:val="230"/>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3"/>
        </w:trPr>
        <w:tc>
          <w:tcPr>
            <w:tcW w:w="4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91,188</w:t>
            </w: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60" w:type="dxa"/>
            <w:vAlign w:val="bottom"/>
            <w:shd w:val="clear" w:color="auto" w:fill="CCEEFF"/>
          </w:tcPr>
          <w:p>
            <w:pPr>
              <w:spacing w:after="0"/>
              <w:rPr>
                <w:sz w:val="18"/>
                <w:szCs w:val="18"/>
                <w:color w:val="auto"/>
              </w:rPr>
            </w:pPr>
          </w:p>
        </w:tc>
      </w:tr>
      <w:tr>
        <w:trPr>
          <w:trHeight w:val="21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69,033</w:t>
            </w:r>
          </w:p>
        </w:tc>
        <w:tc>
          <w:tcPr>
            <w:tcW w:w="60" w:type="dxa"/>
            <w:vAlign w:val="bottom"/>
          </w:tcPr>
          <w:p>
            <w:pPr>
              <w:spacing w:after="0"/>
              <w:rPr>
                <w:sz w:val="18"/>
                <w:szCs w:val="18"/>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01"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Our business does not require significant amounts of investment 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fixed assets. The substantial majority of the capital used in our business is working capital that funds our costs of labor and installed equipment deployed in project work until our customer pays us. Customary terms in our industry allow customers to withhold a small portion of the contract price until after we have completed the work, typically for six months. Amounts withheld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under this practice are known as retention or retainage. Our average project duration together with typical retention terms generally allow us to complete the realization of revenue and earnings in cash within one year.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2018 Compared to 2017</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Cash Provided by Operating Activities</w:t>
      </w:r>
      <w:r>
        <w:rPr>
          <w:rFonts w:ascii="Times New Roman" w:cs="Times New Roman" w:eastAsia="Times New Roman" w:hAnsi="Times New Roman"/>
          <w:sz w:val="18"/>
          <w:szCs w:val="18"/>
          <w:color w:val="auto"/>
        </w:rPr>
        <w:t>—Cash flow from operations is primarily influenced by demand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operating margins but can also be influenced by working capital needs associated with the various types of services that we provide. In particular, working capital needs may increase when we commence large volumes of work under circumstances where project costs, primarily associated with labor, equipment and subcontractors, are required to be paid before the receivables resulting from the work performed are billed and collected. Working capital needs are generally higher during the late winter and spring months as we prepare and plan for the increased project demand when favorable weather conditions exist in the summer and fall months. Conversely, working capital assets are typically converted to cash during the late summer and fall months as project completion is underway. These seasonal trends are sometimes offset by changes in the timing of major projects, which can be impacted by the weather, project delays or accelerations and other economic factors that may affect customer spending.</w:t>
      </w:r>
    </w:p>
    <w:p>
      <w:pPr>
        <w:spacing w:after="0" w:line="18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We generated $147.2 million of cash flow from operating activities during 2018 compared with $114.1 million during 2017. The $33.1 million increase is primarily due to the $57.6 million increase in net income. This increase to operating cash flow was partially offset by the change in receivables of $30.8 million, primarily related to the increase in revenue and the timing of customer billings and payments.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r>
        <w:rPr>
          <w:rFonts w:ascii="Times New Roman" w:cs="Times New Roman" w:eastAsia="Times New Roman" w:hAnsi="Times New Roman"/>
          <w:sz w:val="18"/>
          <w:szCs w:val="18"/>
          <w:color w:val="auto"/>
        </w:rPr>
        <w:t>—Cash used in investing activities was $95.7 million for 2018 compared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$129.0 million during 2017. The $33.3 million decrease in cash used primarily relates to cash paid (net of cash acquired)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Indiana acquisition in 2018 of $46.2 million compared to the BCH acquisition in 2017 of $86.1 million.</w:t>
      </w:r>
    </w:p>
    <w:p>
      <w:pPr>
        <w:spacing w:after="0" w:line="20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Cash Provided by (Used in) Financing Activities</w:t>
      </w:r>
      <w:r>
        <w:rPr>
          <w:rFonts w:ascii="Times New Roman" w:cs="Times New Roman" w:eastAsia="Times New Roman" w:hAnsi="Times New Roman"/>
          <w:sz w:val="18"/>
          <w:szCs w:val="18"/>
          <w:color w:val="auto"/>
        </w:rPr>
        <w:t>—Cash used in financing activities was $42.4 million for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cash provided by financing activities of $19.3 million during 2017. The $61.7 million increase in cash used in financing activities primarily relates to $40.0 million of reduced net proceeds from the revolving line of credit in 2018 compared to the prior year as well as a $19.5 million increase in share repurchases in 2018 compared to the prior year.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2017 Compared to 2016</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Cash Provided by Operating Activities</w:t>
      </w:r>
      <w:r>
        <w:rPr>
          <w:rFonts w:ascii="Times New Roman" w:cs="Times New Roman" w:eastAsia="Times New Roman" w:hAnsi="Times New Roman"/>
          <w:sz w:val="18"/>
          <w:szCs w:val="18"/>
          <w:color w:val="auto"/>
        </w:rPr>
        <w:t>—We generated $114.1 million of cash flow from operating activities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compared with $91.2 million during 2016. The $22.9 million increase is primarily due to the $22.3 million increase in gross profit, increases in billings in excess of costs of $21.6 million, primarily due to the timing of billings and various project work, and increases in accounts payable and accrued liabilities of $19.3 million due to increased activity and revenue as well as increased compensation accruals. These increases to operating cash flow were partially offset by the change in receivables of $44.8 million primarily related to the timing of customer billings and payments.</w:t>
      </w:r>
    </w:p>
    <w:p>
      <w:pPr>
        <w:spacing w:after="0" w:line="183"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18"/>
          <w:szCs w:val="18"/>
          <w:i w:val="1"/>
          <w:iCs w:val="1"/>
          <w:color w:val="auto"/>
        </w:rPr>
        <w:t>Cash Used in Investing Activities</w:t>
      </w:r>
      <w:r>
        <w:rPr>
          <w:rFonts w:ascii="Times New Roman" w:cs="Times New Roman" w:eastAsia="Times New Roman" w:hAnsi="Times New Roman"/>
          <w:sz w:val="18"/>
          <w:szCs w:val="18"/>
          <w:color w:val="auto"/>
        </w:rPr>
        <w:t>—Cash used in investing activities was $129.0 million for 2017 compared to $79.3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2016. The $49.7 million increase in cash used primarily relates to cash paid (net of cash acquired) for the BCH acquisition in 2017 of $86.1 million compared to the EAS and Shoffner acquisitions in 2016 ($56.3 million).</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Cash Used in Financing Activities</w:t>
      </w:r>
      <w:r>
        <w:rPr>
          <w:rFonts w:ascii="Times New Roman" w:cs="Times New Roman" w:eastAsia="Times New Roman" w:hAnsi="Times New Roman"/>
          <w:sz w:val="18"/>
          <w:szCs w:val="18"/>
          <w:color w:val="auto"/>
        </w:rPr>
        <w:t>—Cash provided by financing activities was $19.3 million for 2017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in financing activities of $36.3 million during 2016. The $55.6 million increase in cash provided by financing activities primarily relates to $55.0 million of additional net proceeds from the revolving line of credit in 2017 compared to the prior year.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define free cash flow as cash provided by operating activities, less customary capital expenditures, plus the proceeds from asset sales. We believe free cash flow, by encompassing both profit margins and the use of working capital over our approximately one year working capital cycle, is an effective measure of operating effectiveness and efficiency. We have included free cash flow information here for this reason, and because we are often asked about it by third parties evaluating us. However, free cash flow is not considered under generally accepted accounting principles to be a primary measure of an entity’s financial results, and accordingly free cash flow should not be considered 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7"/>
          <w:szCs w:val="17"/>
          <w:color w:val="auto"/>
        </w:rPr>
        <w:t>alternative to operating income, net income, or amounts shown in our consolidated statements of cash flows as determined under generally accepted accounting principles. Free cash flow may be defined differently by other companies.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29, 2007, our Board of Directors (the “Board”) approved a stock repurchase program to acquire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shares of our outstanding common stock. Subsequently, the Board has from time to time increased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that may be acquired under the program and approved extensions of the program. On August 10, 2018,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an extension to the program by increasing the shares authorized for repurchase by 0.7 million shares. Since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inception of the repurchase program, the Board has approved 8.8 million shares to be repurchased. As of December 31,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repurchased a cumulative total of 8.2 million shares at an average price of $16.24 per share under the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year ended December 31, 2018, we repurchased 0.6 million shares for approximately $28.5 million at an average price of $48.13 per share.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 $400.0 million senior credit facility (the “Facility”) provided by a syndicate of banks, with a $100 million accordion option. The Facility, which is available for borrowings and letters of credit, expires in April 2023 and is secured by a first lien on substantially all of our personal property except for assets related to projects subject to surety bonds and assets held by certain unrestricted subsidiaries and a second lien on our assets related to projects subject to surety bonds. In 2018, we incurred approximately $0.8 million in financing and professional costs in connection with an amendment to the Facility, which combined with the previous unamortized costs of $1.1 million, are being amortized on a straight-line basis as a non-cash charge to interest expense over the remaining term of the Facility. As of December 31, 2018, we had $50.0 million of outstanding borrowings, $33.6 million in letters of credit outstanding and $316.4 million of credit available.</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are two interest rate options for borrowings under the Facility, the Base Rate Loan option and the Eurodollar Rate Loan option. These rates are floating rates determined by the broad financial markets, meaning they can and do move up and down from time to time. Additional margins are then added to these two rates. The weighted average interest rate applicable to the borrowings under the Facility was approximately 3.7% as of December 31, 2018.</w:t>
      </w:r>
    </w:p>
    <w:p>
      <w:pPr>
        <w:spacing w:after="0" w:line="180" w:lineRule="exact"/>
        <w:rPr>
          <w:sz w:val="20"/>
          <w:szCs w:val="20"/>
          <w:color w:val="auto"/>
        </w:rPr>
      </w:pPr>
    </w:p>
    <w:p>
      <w:pPr>
        <w:ind w:right="40" w:firstLine="648"/>
        <w:spacing w:after="0" w:line="219" w:lineRule="exact"/>
        <w:rPr>
          <w:sz w:val="20"/>
          <w:szCs w:val="20"/>
          <w:color w:val="auto"/>
        </w:rPr>
      </w:pPr>
      <w:r>
        <w:rPr>
          <w:rFonts w:ascii="Times New Roman" w:cs="Times New Roman" w:eastAsia="Times New Roman" w:hAnsi="Times New Roman"/>
          <w:sz w:val="18"/>
          <w:szCs w:val="18"/>
          <w:color w:val="auto"/>
        </w:rPr>
        <w:t>Certain of our vendors require letters of credit to ensure reimbursement for amounts they are disbursing on our behalf, such as to beneficiaries under our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insurance programs. We have also occasionally used letters of credit to guarantee performance under our contracts and to ensure payment to our subcontractors and vendors under those contracts. Our lenders issue such letters of credit through the Facility for a fee. We have never had a claim made against a letter of credit that resulted in payments by a lender or by us and believe such claims are unlikely in the foreseeable future. The letter of credit fees range from 1.25% to 2.00% per annum, based on the ratio of Consolidated Total Indebtedness to Credit Facility Adjusted EBITDA, as defined in the credit agreement.</w:t>
      </w:r>
    </w:p>
    <w:p>
      <w:pPr>
        <w:spacing w:after="0" w:line="201" w:lineRule="exact"/>
        <w:rPr>
          <w:sz w:val="20"/>
          <w:szCs w:val="20"/>
          <w:color w:val="auto"/>
        </w:rPr>
      </w:pPr>
    </w:p>
    <w:p>
      <w:pPr>
        <w:ind w:right="260" w:firstLine="648"/>
        <w:spacing w:after="0" w:line="222" w:lineRule="exact"/>
        <w:rPr>
          <w:sz w:val="20"/>
          <w:szCs w:val="20"/>
          <w:color w:val="auto"/>
        </w:rPr>
      </w:pPr>
      <w:r>
        <w:rPr>
          <w:rFonts w:ascii="Times New Roman" w:cs="Times New Roman" w:eastAsia="Times New Roman" w:hAnsi="Times New Roman"/>
          <w:sz w:val="18"/>
          <w:szCs w:val="18"/>
          <w:color w:val="auto"/>
        </w:rPr>
        <w:t>Commitment fees are payable on the portion of the revolving loan capacity not in use for borrowings or letters of credit at any given time. These fees range from 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0.35% per annum, based on the ratio of Consolidated Total Indebtedness to Credit Facility Adjusted EBITDA, as defined in the credit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included the following primary elements (in thousands):</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notes to former owners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borrowings and unused commitment fees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 of credit fees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bottom w:val="single" w:sz="8" w:color="CCEEFF"/>
            </w:tcBorders>
          </w:tcPr>
          <w:p>
            <w:pPr>
              <w:spacing w:after="0"/>
              <w:rPr>
                <w:sz w:val="18"/>
                <w:szCs w:val="18"/>
                <w:color w:val="auto"/>
              </w:rPr>
            </w:pPr>
          </w:p>
        </w:tc>
      </w:tr>
      <w:tr>
        <w:trPr>
          <w:trHeight w:val="217"/>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The Facility contains financial covenants defining various financial measures and the levels of these measures with which we must comply. Covenant compliance is assessed as of each quarter end. Credit Facility Adjusted EBITDA is defined under the Facility for financial covenant purposes as net earnings for the four quarters ending as of any given quarterly covenant compliance measurement date, plus the corresponding amounts for (a) interest expense; (b) provision for income taxes; (c) depreciation and amortization; (d) stock compensation; (e)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and (f)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acquisition results of acquired companies. The following is a reconciliation of Credit Facility Adjusted EBITDA to net income for 2018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$ 112,903</w:t>
            </w: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42,689</w:t>
            </w: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Pre-acquisition results of acquired companies, as defined under the Facility</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80" w:type="dxa"/>
            <w:vAlign w:val="bottom"/>
          </w:tcPr>
          <w:p>
            <w:pPr>
              <w:spacing w:after="0"/>
              <w:rPr>
                <w:sz w:val="18"/>
                <w:szCs w:val="18"/>
                <w:color w:val="auto"/>
              </w:rPr>
            </w:pPr>
          </w:p>
        </w:tc>
      </w:tr>
      <w:tr>
        <w:trPr>
          <w:trHeight w:val="217"/>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Adjusted EBITDA</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$ 205,934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Facility’s principal financial covenants include:</w:t>
      </w:r>
    </w:p>
    <w:p>
      <w:pPr>
        <w:spacing w:after="0" w:line="156" w:lineRule="exact"/>
        <w:rPr>
          <w:sz w:val="20"/>
          <w:szCs w:val="20"/>
          <w:color w:val="auto"/>
        </w:rPr>
      </w:pPr>
    </w:p>
    <w:p>
      <w:pPr>
        <w:jc w:val="both"/>
        <w:ind w:left="660"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Total Leverage Ratio—</w:t>
      </w:r>
      <w:r>
        <w:rPr>
          <w:rFonts w:ascii="Times New Roman" w:cs="Times New Roman" w:eastAsia="Times New Roman" w:hAnsi="Times New Roman"/>
          <w:sz w:val="18"/>
          <w:szCs w:val="18"/>
          <w:color w:val="auto"/>
        </w:rPr>
        <w:t>The Facility requires that the ratio of our Consolidated Total Indebtedness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Adjusted EBITDA not exceed 3.00 to 1.00 as of the end of each fiscal quarter. The total leverage ratio as of December 31, 2018 was 0.4.</w:t>
      </w:r>
    </w:p>
    <w:p>
      <w:pPr>
        <w:spacing w:after="0" w:line="92" w:lineRule="exact"/>
        <w:rPr>
          <w:sz w:val="20"/>
          <w:szCs w:val="20"/>
          <w:color w:val="auto"/>
        </w:rPr>
      </w:pPr>
    </w:p>
    <w:p>
      <w:pPr>
        <w:ind w:left="660" w:right="20" w:firstLine="648"/>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Fixed Charge Coverage Ratio— </w:t>
      </w:r>
      <w:r>
        <w:rPr>
          <w:rFonts w:ascii="Times New Roman" w:cs="Times New Roman" w:eastAsia="Times New Roman" w:hAnsi="Times New Roman"/>
          <w:sz w:val="18"/>
          <w:szCs w:val="18"/>
          <w:color w:val="auto"/>
        </w:rPr>
        <w:t>The Facility requires that the ratio of (a) Credit Facility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less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financed capital expenditures, provision for income taxes, dividends and amounts used to repurchase stock to (b) the sum of interest expense and scheduled principal payments of indebtedness be at least 2.00 to 1.00; provided that the calculation of the fixed charge coverage ratio excludes stock repurchases and the payment of dividends at any time that the Company’s Net Leverage Ratio, as defined in the credit agreement, does not exceed 1.75 to 1.00. The Facility also allows the fixed charge coverage ratio not to be reduced for stock repurchases made after the effective date of the Facility in an aggregate amount not to exceed $30 million, if at the time of and after giving effect to such repurchase the Company’s Net Leverage Ratio was less than or equal to 1.75 to 1.00. Credit Facility Adjusted EBITDA, capital expenditures, provision for income taxes, dividends, stock repurchase payments, interest expense, and scheduled principal payments are defined under the Facility for purposes of this covenant to be amounts for the four quarters ending as of any given quarterly covenant compliance measurement date. The fixed charge coverage ratio as of December 31, 2018 was 21.9.</w:t>
      </w:r>
    </w:p>
    <w:p>
      <w:pPr>
        <w:spacing w:after="0" w:line="134"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Restrictions— </w:t>
      </w:r>
      <w:r>
        <w:rPr>
          <w:rFonts w:ascii="Times New Roman" w:cs="Times New Roman" w:eastAsia="Times New Roman" w:hAnsi="Times New Roman"/>
          <w:sz w:val="18"/>
          <w:szCs w:val="18"/>
          <w:color w:val="auto"/>
        </w:rPr>
        <w:t>The Facility permits acquisitions of up to $40.0 million per transaction,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aggregate purchase price of all such acquisitions in the same fiscal year does not exceed $80.0 million. However, these limitations only apply when the Company’s Total Leverage Ratio is greater than 2.00 to 1.00.</w:t>
      </w:r>
    </w:p>
    <w:p>
      <w:pPr>
        <w:spacing w:after="0" w:line="108" w:lineRule="exact"/>
        <w:rPr>
          <w:sz w:val="20"/>
          <w:szCs w:val="20"/>
          <w:color w:val="auto"/>
        </w:rPr>
      </w:pPr>
    </w:p>
    <w:p>
      <w:pPr>
        <w:ind w:left="660" w:right="200" w:firstLine="648"/>
        <w:spacing w:after="0" w:line="220" w:lineRule="exact"/>
        <w:rPr>
          <w:sz w:val="20"/>
          <w:szCs w:val="20"/>
          <w:color w:val="auto"/>
        </w:rPr>
      </w:pPr>
      <w:r>
        <w:rPr>
          <w:rFonts w:ascii="Times New Roman" w:cs="Times New Roman" w:eastAsia="Times New Roman" w:hAnsi="Times New Roman"/>
          <w:sz w:val="18"/>
          <w:szCs w:val="18"/>
          <w:color w:val="auto"/>
        </w:rPr>
        <w:t>While the Facility’s financial covenants do not specifically govern capacity under the Facility, if our debt level under the Facility at a quarter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covenant compliance measurement date were to cause us to violate the Facility’s leverage ratio covenant, our borrowing capacity under the Facility and the favorable terms that we currently have could be negatively impacted by the lenders.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were in compliance with all of our financial covenants as of December 31,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Notes to Former Owners</w:t>
      </w:r>
    </w:p>
    <w:p>
      <w:pPr>
        <w:spacing w:after="0" w:line="16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As part of the consideration used to acquire six companies, we have outstanding notes to the former owners. These notes had an outstanding balance of $26.8 million as of December 31, 2018. In conjunction with an acquisition in the third quarter of 2018, we issued a promissory note to former owners with an outstanding balance of $6.5 million as of December 31, 2018 that bears interest, payable quarterly, at a weighted average interest rate of 3.5%. The principal is due in three equal installments in July 2019, 2020 and 2021. In conjunction with a separate acquisition in the third quarter of 2018, we issued a promissory note to former owners with an outstanding balance of $3.5 million as of December 31, 2018 that bears interest, payable quarterly, at a weighted average interest rate of 2.9%. The principal is due in September 2020. In conjunction with a small acquisition in the second quarter of 2018, we issued a subordinated note to former owners with an outstanding balance of $1.0 million as of December 31, 2018 that bears interest, payable quarterly, at a weighted average interest rate of</w:t>
      </w:r>
    </w:p>
    <w:p>
      <w:pPr>
        <w:spacing w:after="0" w:line="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3.5%. The principal is due in equal installments in May 2020 and 2021. In conjunction with a small acquisition in the first quarter of 2018, we issued a subordinated note to former owners with an outstanding balance of $1.0 million as of December 31, 2018 that bears interest, payable quarterly, at a weighted average interest rate of 2.5%. The principal is due in equal installments in January 2019 and 2020. In conjunction with the BCH acquisition in the second quarter of 2017, we issued a promissory note to former owners with an outstanding balance of $14.3 million as of December 31, 2018 that bears interest, payable quarterly, at a weighted average interest rate of 3.0%. The principal is due in equal installments in April 2020 and 2021. In conjunction with the Shoffner acquisition in the first quarter of 2016, we issued a subordinated note to former owners with an outstanding balance of $0.5 million as of December 31, 2018 that bears interest, payable quarterly, at a weighted average interest rate of 3.0%. The remaining principal is due in February 2019.</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Shoffner acquisition, we acquired debt with an outstanding balance at the acquisition date of $0.4 million with principal and interest due the last day of every month; ending on the December 30, 2019 maturity date. The interest rate is the one month LIBOR rate plus 2.25%. As of December 31, 2018, $0.1 million of the note was outstanding, all of which was considered current.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generated positive net free cash flow for the last twenty calendar years, much of which occurred during challenging economic and industry conditions. We also continue to have significant borrowing capacity under our credit facility, and we maintain what we feel are reasonable cash balances. We believe these factors will provide us with sufficient liquidity to fund our operations for the foreseeable future.</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 and Other Commitments</w:t>
      </w:r>
    </w:p>
    <w:p>
      <w:pPr>
        <w:spacing w:after="0" w:line="158" w:lineRule="exact"/>
        <w:rPr>
          <w:sz w:val="20"/>
          <w:szCs w:val="20"/>
          <w:color w:val="auto"/>
        </w:rPr>
      </w:pPr>
    </w:p>
    <w:p>
      <w:pPr>
        <w:ind w:right="40" w:firstLine="648"/>
        <w:spacing w:after="0" w:line="228" w:lineRule="exact"/>
        <w:rPr>
          <w:sz w:val="20"/>
          <w:szCs w:val="20"/>
          <w:color w:val="auto"/>
        </w:rPr>
      </w:pPr>
      <w:r>
        <w:rPr>
          <w:rFonts w:ascii="Times New Roman" w:cs="Times New Roman" w:eastAsia="Times New Roman" w:hAnsi="Times New Roman"/>
          <w:sz w:val="18"/>
          <w:szCs w:val="18"/>
          <w:color w:val="auto"/>
        </w:rPr>
        <w:t>As is common in our industry, we have entered into certain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in the ordinary course of business that result in risks not directly reflected in our balance sheets. Our most significant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transactions include liabilities associated with noncancelable operating leases. We also have other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obligations involving letters of credit and surety guarantees.</w:t>
      </w:r>
    </w:p>
    <w:p>
      <w:pPr>
        <w:spacing w:after="0" w:line="131"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We enter into noncancelable operating leases for many of our facility, vehicle and equipment needs. These leases allow us to conserve cash by paying a monthly lease rental fee for use of facilities, vehicles and equipment rather than purchasing them. At the end of the lease, we have no further obligation to the lessor. If we decide to cancel or terminate a lease before the end of its term, we would typically owe the lessor the remaining lease payments under the term of the lease.</w:t>
      </w:r>
    </w:p>
    <w:p>
      <w:pPr>
        <w:spacing w:after="0" w:line="165" w:lineRule="exact"/>
        <w:rPr>
          <w:sz w:val="20"/>
          <w:szCs w:val="20"/>
          <w:color w:val="auto"/>
        </w:rPr>
      </w:pPr>
    </w:p>
    <w:p>
      <w:pPr>
        <w:ind w:right="80" w:firstLine="648"/>
        <w:spacing w:after="0" w:line="218" w:lineRule="exact"/>
        <w:rPr>
          <w:sz w:val="20"/>
          <w:szCs w:val="20"/>
          <w:color w:val="auto"/>
        </w:rPr>
      </w:pPr>
      <w:r>
        <w:rPr>
          <w:rFonts w:ascii="Times New Roman" w:cs="Times New Roman" w:eastAsia="Times New Roman" w:hAnsi="Times New Roman"/>
          <w:sz w:val="18"/>
          <w:szCs w:val="18"/>
          <w:color w:val="auto"/>
        </w:rPr>
        <w:t>Certain of our vendors require letters of credit to ensure reimbursement for amounts they are disbursing on our behalf, such as to beneficiaries under our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insurance programs. We have also occasionally used letters of credit to guarantee performance under our contracts and to ensure payment to our subcontractors and vendors under those contracts. The letters of credit we provide are actually issued by our lenders through the Facility as described above. A letter of credit commits the lenders to pay specified amounts to the holder of the letter of credit if the holder demonstrates that we have failed to perform specified actions. If this were to occur, we would be required to reimburse the lenders. Depending on the circumstances of such a reimbursement, we may also have to record a charge to earnings for the reimbursement. Absent a claim, there is no payment or reserving of funds by us in connection with a letter of credit. However, because a claim on a letter of credit would require immediate reimbursement by us to our lenders, letters of credit are treated as a use of the Facility’s capacity just the same as actual borrowings. Claims against letters of</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credit are rare in our industry. To date we have not had a claim made against a letter of credit that resulted in payments by a lender or by us. We believe that it is unlikely that we will have to fund claims under a letter of credit in the foreseeable future.</w:t>
      </w:r>
    </w:p>
    <w:p>
      <w:pPr>
        <w:spacing w:after="0" w:line="13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sureties for any expenses or outlays they incur. To date, we are not aware of any losses to our sureties in connection with bonds the sureties have posted on our behalf, and we do not expect such losses to be incurred in the foreseeable future.</w:t>
      </w:r>
    </w:p>
    <w:p>
      <w:pPr>
        <w:spacing w:after="0" w:line="159" w:lineRule="exact"/>
        <w:rPr>
          <w:sz w:val="20"/>
          <w:szCs w:val="20"/>
          <w:color w:val="auto"/>
        </w:rPr>
      </w:pPr>
    </w:p>
    <w:p>
      <w:pPr>
        <w:ind w:right="80" w:firstLine="648"/>
        <w:spacing w:after="0" w:line="221" w:lineRule="exact"/>
        <w:rPr>
          <w:sz w:val="20"/>
          <w:szCs w:val="20"/>
          <w:color w:val="auto"/>
        </w:rPr>
      </w:pPr>
      <w:r>
        <w:rPr>
          <w:rFonts w:ascii="Times New Roman" w:cs="Times New Roman" w:eastAsia="Times New Roman" w:hAnsi="Times New Roman"/>
          <w:sz w:val="18"/>
          <w:szCs w:val="18"/>
          <w:color w:val="auto"/>
        </w:rPr>
        <w:t>Under standard terms in the surety market, sureties issue bonds on a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project basis and can decline to issue bonds at any time. Historically, approximately 20% to 30% of our business has required bonds. While we currently have strong surety relationships to support our bonding needs, future market conditions or changes in our sureties’ assessment of our operating and financial risk could cause our sureties to decline to issue bonds for our work. If that were to occur, our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recaps the future maturities of our contractual obligations as of December 31, 2018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5"/>
                <w:szCs w:val="1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Notes to former owners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$ 56,862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9 “Income Taxes”, included in our Consolidated Balance Sheet at December 31, 2018 is approximately $3.0 million of unrecognized tax benefits. We believe it is reasonably possible that a decrease of up to $3.0 million in unrecognized tax benefits could occur within the next twelve months. However, due to the uncertain and complex application of tax regulations, combined with the difficulty in predicting when tax audits may be concluded, we generally cannot make reliable estimates of the timing of cash outflows relating to these liabilities.</w:t>
      </w:r>
    </w:p>
    <w:p>
      <w:pPr>
        <w:spacing w:after="0" w:line="176" w:lineRule="exact"/>
        <w:rPr>
          <w:sz w:val="20"/>
          <w:szCs w:val="20"/>
          <w:color w:val="auto"/>
        </w:rPr>
      </w:pPr>
    </w:p>
    <w:p>
      <w:pPr>
        <w:ind w:right="40" w:firstLine="648"/>
        <w:spacing w:after="0" w:line="219" w:lineRule="exact"/>
        <w:rPr>
          <w:sz w:val="20"/>
          <w:szCs w:val="20"/>
          <w:color w:val="auto"/>
        </w:rPr>
      </w:pPr>
      <w:r>
        <w:rPr>
          <w:rFonts w:ascii="Times New Roman" w:cs="Times New Roman" w:eastAsia="Times New Roman" w:hAnsi="Times New Roman"/>
          <w:sz w:val="18"/>
          <w:szCs w:val="18"/>
          <w:color w:val="auto"/>
        </w:rPr>
        <w:t>As of December 31, 2018, we also have $33.6 million in letter of credit commitments, of which $15.1 million will expire in 2019 and $18.5 million will expire in 2020. The substantial majority of these letters of credit are posted with insurers who disburse funds on our behalf in connection with our workers’ compensation, auto liability and general liability insurance program. These letters of credit provide additional security to the insurers that sufficient financial resources will be available to fund claims on our behalf, many of which develop over long periods of time, should we ever encounter financial duress. Posting of letters of credit for this purpose is a common practice for entities that manage their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programs through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insurers as we do. While many of these letter of credit commitments expire in 2019, we expect nearly all of them, particularly those supporting our insurance programs, will be renewed annually.</w:t>
      </w:r>
    </w:p>
    <w:p>
      <w:pPr>
        <w:spacing w:after="0" w:line="19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Other than the operating lease obligations noted above, we have no significant purchase or operating commitments outside of commitments to deliver equipment and provide labor in the ordinary course of performing project work.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primarily related to potential adverse changes in interest rates as discussed below. We are actively involved in monitoring exposure to market risk and continue to develop and utilize appropriate risk management techniques. We are not exposed to any other significant financial market risks including commodity price risk, foreign currency exchange risk or interest rate risks from the use of derivative financial instruments. We do not use derivative financial instruments.</w:t>
      </w:r>
    </w:p>
    <w:p>
      <w:pPr>
        <w:spacing w:after="0" w:line="184"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We have exposure to changes in interest rates under our revolving credit facility. We have a modest level of indebtedness under our debt facility and our indebtedness could increase in the future. Our debt with fixed interest rates consists of notes to former owners of acquired companies.</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principal amounts (stated in thousands) and related average interest rates by year of maturity for our debt obligations and their indicated fair market value at December 31,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0"/>
          </w:tcPr>
          <w:p>
            <w:pPr>
              <w:ind w:left="12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9,817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$26,813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50,000</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$50,105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 applicable to the borrowings under the Facility was approximately 3.7% as of December 31, 2018. The interest rate applicable to other variable rate debt was approximately 4.8% as of December 31, 2018.</w:t>
      </w:r>
    </w:p>
    <w:p>
      <w:pPr>
        <w:spacing w:after="0" w:line="176" w:lineRule="exact"/>
        <w:rPr>
          <w:sz w:val="20"/>
          <w:szCs w:val="20"/>
          <w:color w:val="auto"/>
        </w:rPr>
      </w:pPr>
    </w:p>
    <w:p>
      <w:pPr>
        <w:ind w:right="20" w:firstLine="648"/>
        <w:spacing w:after="0" w:line="222" w:lineRule="exact"/>
        <w:rPr>
          <w:sz w:val="20"/>
          <w:szCs w:val="20"/>
          <w:color w:val="auto"/>
        </w:rPr>
      </w:pPr>
      <w:r>
        <w:rPr>
          <w:rFonts w:ascii="Times New Roman" w:cs="Times New Roman" w:eastAsia="Times New Roman" w:hAnsi="Times New Roman"/>
          <w:sz w:val="18"/>
          <w:szCs w:val="18"/>
          <w:color w:val="auto"/>
        </w:rPr>
        <w:t>We measure certain assets at fair value on a nonrecurring basis. These assets are recognized at fair value when they are deemed to be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temporarily impaired. We did not recognize any impairments, in the current year, on those assets required to be measured at fair value on a nonrecurring basis.</w:t>
      </w:r>
    </w:p>
    <w:p>
      <w:pPr>
        <w:spacing w:after="0" w:line="171" w:lineRule="exact"/>
        <w:rPr>
          <w:sz w:val="20"/>
          <w:szCs w:val="20"/>
          <w:color w:val="auto"/>
        </w:rPr>
      </w:pPr>
    </w:p>
    <w:p>
      <w:pPr>
        <w:ind w:right="200" w:firstLine="648"/>
        <w:spacing w:after="0" w:line="228" w:lineRule="exact"/>
        <w:rPr>
          <w:sz w:val="20"/>
          <w:szCs w:val="20"/>
          <w:color w:val="auto"/>
        </w:rPr>
      </w:pPr>
      <w:r>
        <w:rPr>
          <w:rFonts w:ascii="Times New Roman" w:cs="Times New Roman" w:eastAsia="Times New Roman" w:hAnsi="Times New Roman"/>
          <w:sz w:val="18"/>
          <w:szCs w:val="18"/>
          <w:color w:val="auto"/>
        </w:rPr>
        <w:t>The valuation of the Company’s contingent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payments is determined using a probability weighted discounted cash flow method. This analysis reflects the contractual terms of the purchase agreements (e.g., minimum and maximum payment, length of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periods, manner of calculating any amounts due, etc.) and utilizes assumptions with regard to future cash flows, probabilities of achieving such future cash flows and a discount rate.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gridSpan w:val="12"/>
            <w:vMerge w:val="restart"/>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Comfort Systems USA, Inc.</w:t>
              </w:r>
            </w:hyperlink>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42"/>
        </w:trPr>
        <w:tc>
          <w:tcPr>
            <w:tcW w:w="8760" w:type="dxa"/>
            <w:vAlign w:val="bottom"/>
            <w:gridSpan w:val="12"/>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840" w:type="dxa"/>
            <w:vAlign w:val="bottom"/>
            <w:tcBorders>
              <w:top w:val="single" w:sz="8" w:color="0000EE"/>
            </w:tcBorders>
            <w:gridSpan w:val="2"/>
          </w:tcPr>
          <w:p>
            <w:pPr>
              <w:spacing w:after="0" w:line="170"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Management’s Report on</w:t>
              </w:r>
            </w:hyperlink>
          </w:p>
        </w:tc>
        <w:tc>
          <w:tcPr>
            <w:tcW w:w="6740" w:type="dxa"/>
            <w:vAlign w:val="bottom"/>
            <w:gridSpan w:val="9"/>
          </w:tcPr>
          <w:p>
            <w:pPr>
              <w:ind w:left="20"/>
              <w:spacing w:after="0" w:line="163"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Internal Control over Financial Reporting</w:t>
              </w:r>
            </w:hyperlink>
          </w:p>
        </w:tc>
        <w:tc>
          <w:tcPr>
            <w:tcW w:w="3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Report of Independent Registered Public Accounting Firm</w:t>
              </w:r>
            </w:hyperlink>
          </w:p>
        </w:tc>
        <w:tc>
          <w:tcPr>
            <w:tcW w:w="620" w:type="dxa"/>
            <w:vAlign w:val="bottom"/>
            <w:tcBorders>
              <w:top w:val="single" w:sz="8" w:color="0000EE"/>
            </w:tcBorders>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580" w:type="dxa"/>
            <w:vAlign w:val="bottom"/>
            <w:gridSpan w:val="11"/>
          </w:tcPr>
          <w:p>
            <w:pPr>
              <w:spacing w:after="0" w:line="18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Report of Independent Registered Public Accounting Firm</w:t>
              </w:r>
            </w:hyperlink>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4360" w:type="dxa"/>
            <w:vAlign w:val="bottom"/>
            <w:gridSpan w:val="3"/>
          </w:tcPr>
          <w:p>
            <w:pPr>
              <w:spacing w:after="0"/>
              <w:rPr>
                <w:sz w:val="17"/>
                <w:szCs w:val="17"/>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20" w:type="dxa"/>
            <w:vAlign w:val="bottom"/>
            <w:tcBorders>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Consolidated Statements of Operations</w:t>
              </w:r>
            </w:hyperlink>
          </w:p>
        </w:tc>
        <w:tc>
          <w:tcPr>
            <w:tcW w:w="5760" w:type="dxa"/>
            <w:vAlign w:val="bottom"/>
            <w:gridSpan w:val="7"/>
          </w:tcPr>
          <w:p>
            <w:pPr>
              <w:spacing w:after="0"/>
              <w:rPr>
                <w:sz w:val="17"/>
                <w:szCs w:val="17"/>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60" w:type="dxa"/>
            <w:vAlign w:val="bottom"/>
            <w:tcBorders>
              <w:bottom w:val="single" w:sz="8" w:color="0000EE"/>
            </w:tcBorders>
            <w:gridSpan w:val="7"/>
          </w:tcPr>
          <w:p>
            <w:pPr>
              <w:spacing w:after="0" w:line="182"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Consolidated Statements of Stockholders’ Equity</w:t>
              </w:r>
            </w:hyperlink>
          </w:p>
        </w:tc>
        <w:tc>
          <w:tcPr>
            <w:tcW w:w="5020" w:type="dxa"/>
            <w:vAlign w:val="bottom"/>
            <w:gridSpan w:val="4"/>
          </w:tcPr>
          <w:p>
            <w:pPr>
              <w:spacing w:after="0"/>
              <w:rPr>
                <w:sz w:val="17"/>
                <w:szCs w:val="17"/>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Consolidated Statements of Cash Flows</w:t>
              </w:r>
            </w:hyperlink>
          </w:p>
        </w:tc>
        <w:tc>
          <w:tcPr>
            <w:tcW w:w="5700" w:type="dxa"/>
            <w:vAlign w:val="bottom"/>
            <w:gridSpan w:val="6"/>
          </w:tcPr>
          <w:p>
            <w:pPr>
              <w:spacing w:after="0"/>
              <w:rPr>
                <w:sz w:val="17"/>
                <w:szCs w:val="17"/>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580" w:type="dxa"/>
            <w:vAlign w:val="bottom"/>
            <w:gridSpan w:val="11"/>
          </w:tcPr>
          <w:p>
            <w:pPr>
              <w:spacing w:after="0" w:line="18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Notes to Consolidated Financial Statements</w:t>
              </w:r>
            </w:hyperlink>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709"/>
        </w:trPr>
        <w:tc>
          <w:tcPr>
            <w:tcW w:w="200" w:type="dxa"/>
            <w:vAlign w:val="bottom"/>
            <w:gridSpan w:val="2"/>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17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41</w:t>
            </w: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supervision and with the participation of our management, including our Chief Executive Officer and Chief Financial Officer, we conducted an evaluation of the effectiveness of our internal control over financial reporting as of December 31, 2018 based on the framework in Internal Control—Integrated Framework issued by the Committee of Sponsoring Organizations of the Treadway Commission (COSO 2013 framework). Based on that evaluation, our management concluded that our internal control over financial reporting was effective as of December 31, 2018.</w:t>
      </w:r>
    </w:p>
    <w:p>
      <w:pPr>
        <w:spacing w:after="0" w:line="20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as stated in their report which is included elsewhere herein, has issued an attestation report auditing the effectiveness of our internal control over financial reporting as of December 31, 2018.</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Comfort Systems USA,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Comfort Systems USA, Inc. (the Company) as of December 31, 2018 and 2017, the related consolidated statements of operations,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9" w:lineRule="exact"/>
        <w:rPr>
          <w:sz w:val="20"/>
          <w:szCs w:val="20"/>
          <w:color w:val="auto"/>
        </w:rPr>
      </w:pPr>
    </w:p>
    <w:p>
      <w:pPr>
        <w:jc w:val="both"/>
        <w:ind w:right="39"/>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issued by the Committee of Sponsoring Organizations of the Treadway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framework), and our report dated February 21,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99"/>
        <w:spacing w:after="0" w:line="27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259" w:firstLine="2278"/>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Comfort Systems USA, Inc. </w:t>
      </w:r>
      <w:r>
        <w:rPr>
          <w:rFonts w:ascii="Times New Roman" w:cs="Times New Roman" w:eastAsia="Times New Roman" w:hAnsi="Times New Roman"/>
          <w:sz w:val="18"/>
          <w:szCs w:val="18"/>
          <w:b w:val="1"/>
          <w:bCs w:val="1"/>
          <w:color w:val="auto"/>
        </w:rPr>
        <w:t>Opinion on Internal Control over Financial Reporting</w:t>
      </w:r>
    </w:p>
    <w:p>
      <w:pPr>
        <w:ind w:right="79"/>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Comfort Systems USA, Inc.’s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(the COSO criteria). In our opinion, Comfort Systems USA, Inc. (the Company) maintained, in all material respects, effective internal control over financial reporting as of December 31, 2018, based on the COSO criteria.</w:t>
      </w:r>
    </w:p>
    <w:p>
      <w:pPr>
        <w:spacing w:after="0" w:line="89" w:lineRule="exact"/>
        <w:rPr>
          <w:sz w:val="20"/>
          <w:szCs w:val="20"/>
          <w:color w:val="auto"/>
        </w:rPr>
      </w:pPr>
    </w:p>
    <w:p>
      <w:pPr>
        <w:ind w:right="9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stockholders’ equity and cash flows for each of the three years in the period ended December 31, 2018, and the related notes and our report dated February 21, 2019 expressed an unqualified opinion thereon.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5" w:lineRule="exact"/>
        <w:rPr>
          <w:sz w:val="20"/>
          <w:szCs w:val="20"/>
          <w:color w:val="auto"/>
        </w:rPr>
      </w:pPr>
    </w:p>
    <w:p>
      <w:pPr>
        <w:ind w:right="17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ind w:right="15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2" w:lineRule="exact"/>
        <w:rPr>
          <w:sz w:val="20"/>
          <w:szCs w:val="20"/>
          <w:color w:val="auto"/>
        </w:rPr>
      </w:pPr>
    </w:p>
    <w:p>
      <w:pPr>
        <w:jc w:val="both"/>
        <w:ind w:right="79"/>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35" w:lineRule="exact"/>
        <w:rPr>
          <w:sz w:val="20"/>
          <w:szCs w:val="20"/>
          <w:color w:val="auto"/>
        </w:rPr>
      </w:pPr>
    </w:p>
    <w:p>
      <w:pPr>
        <w:ind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jc w:val="both"/>
        <w:ind w:right="21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2019</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8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2"/>
                <w:szCs w:val="12"/>
                <w:color w:val="auto"/>
              </w:rPr>
            </w:pPr>
          </w:p>
        </w:tc>
      </w:tr>
      <w:tr>
        <w:trPr>
          <w:trHeight w:val="142"/>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86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80" w:type="dxa"/>
            <w:vAlign w:val="bottom"/>
            <w:shd w:val="clear" w:color="auto" w:fill="CCEEFF"/>
          </w:tcPr>
          <w:p>
            <w:pPr>
              <w:spacing w:after="0"/>
              <w:rPr>
                <w:sz w:val="18"/>
                <w:szCs w:val="18"/>
                <w:color w:val="auto"/>
              </w:rPr>
            </w:pPr>
          </w:p>
        </w:tc>
      </w:tr>
      <w:tr>
        <w:trPr>
          <w:trHeight w:val="198"/>
        </w:trPr>
        <w:tc>
          <w:tcPr>
            <w:tcW w:w="68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Billed accounts receivable, less allowance for doubtful accounts of $5,898 and $3,400,</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481,366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382,867</w:t>
            </w:r>
          </w:p>
        </w:tc>
        <w:tc>
          <w:tcPr>
            <w:tcW w:w="80" w:type="dxa"/>
            <w:vAlign w:val="bottom"/>
          </w:tcPr>
          <w:p>
            <w:pPr>
              <w:spacing w:after="0"/>
              <w:rPr>
                <w:sz w:val="20"/>
                <w:szCs w:val="20"/>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21,235</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80" w:type="dxa"/>
            <w:vAlign w:val="bottom"/>
            <w:shd w:val="clear" w:color="auto" w:fill="CCEEFF"/>
          </w:tcPr>
          <w:p>
            <w:pPr>
              <w:spacing w:after="0"/>
              <w:rPr>
                <w:sz w:val="18"/>
                <w:szCs w:val="18"/>
                <w:color w:val="auto"/>
              </w:rPr>
            </w:pPr>
          </w:p>
        </w:tc>
      </w:tr>
      <w:tr>
        <w:trPr>
          <w:trHeight w:val="210"/>
        </w:trPr>
        <w:tc>
          <w:tcPr>
            <w:tcW w:w="6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489,357</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87,591</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235,182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200,584</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76,044</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22,966</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80" w:type="dxa"/>
            <w:vAlign w:val="bottom"/>
            <w:shd w:val="clear" w:color="auto" w:fill="CCEEFF"/>
          </w:tcPr>
          <w:p>
            <w:pPr>
              <w:spacing w:after="0"/>
              <w:rPr>
                <w:sz w:val="18"/>
                <w:szCs w:val="18"/>
                <w:color w:val="auto"/>
              </w:rPr>
            </w:pPr>
          </w:p>
        </w:tc>
      </w:tr>
      <w:tr>
        <w:trPr>
          <w:trHeight w:val="217"/>
        </w:trPr>
        <w:tc>
          <w:tcPr>
            <w:tcW w:w="6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1,062,564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881,120</w:t>
            </w:r>
          </w:p>
        </w:tc>
        <w:tc>
          <w:tcPr>
            <w:tcW w:w="80" w:type="dxa"/>
            <w:vAlign w:val="bottom"/>
            <w:tcBorders>
              <w:bottom w:val="single" w:sz="8" w:color="CCEEFF"/>
            </w:tcBorders>
          </w:tcPr>
          <w:p>
            <w:pPr>
              <w:spacing w:after="0"/>
              <w:rPr>
                <w:sz w:val="18"/>
                <w:szCs w:val="18"/>
                <w:color w:val="auto"/>
              </w:rPr>
            </w:pPr>
          </w:p>
        </w:tc>
      </w:tr>
      <w:tr>
        <w:trPr>
          <w:trHeight w:val="216"/>
        </w:trPr>
        <w:tc>
          <w:tcPr>
            <w:tcW w:w="68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132,011</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69,217</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106,005</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self-insurance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32,228</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33,654</w:t>
            </w: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373,728</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59,926</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463,175</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$.01 par, 5,000,000 shares authorized, none issued and outstanding</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$.01 par, 102,969,912 shares authorized, 41,123,365 and 41,123,365</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respectively</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 4,229,653 and 3,936,291 shares, respectively</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(87,747)</w:t>
            </w: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(63,519)</w:t>
            </w: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312,784</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268,904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168,269</w:t>
            </w: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498,047</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417,945</w:t>
            </w:r>
          </w:p>
        </w:tc>
        <w:tc>
          <w:tcPr>
            <w:tcW w:w="80" w:type="dxa"/>
            <w:vAlign w:val="bottom"/>
            <w:shd w:val="clear" w:color="auto" w:fill="CCEEFF"/>
          </w:tcPr>
          <w:p>
            <w:pPr>
              <w:spacing w:after="0"/>
              <w:rPr>
                <w:sz w:val="18"/>
                <w:szCs w:val="18"/>
                <w:color w:val="auto"/>
              </w:rPr>
            </w:pPr>
          </w:p>
        </w:tc>
      </w:tr>
      <w:tr>
        <w:trPr>
          <w:trHeight w:val="217"/>
        </w:trPr>
        <w:tc>
          <w:tcPr>
            <w:tcW w:w="6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1,062,564</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881,120</w:t>
            </w: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9"/>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1,634,340</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1,421,641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1,290,331</w:t>
            </w:r>
          </w:p>
        </w:tc>
        <w:tc>
          <w:tcPr>
            <w:tcW w:w="60" w:type="dxa"/>
            <w:vAlign w:val="bottom"/>
            <w:tcBorders>
              <w:bottom w:val="single" w:sz="8" w:color="CCEEFF"/>
            </w:tcBorders>
          </w:tcPr>
          <w:p>
            <w:pPr>
              <w:spacing w:after="0"/>
              <w:rPr>
                <w:sz w:val="18"/>
                <w:szCs w:val="18"/>
                <w:color w:val="auto"/>
              </w:rPr>
            </w:pPr>
          </w:p>
        </w:tc>
      </w:tr>
      <w:tr>
        <w:trPr>
          <w:trHeight w:val="210"/>
        </w:trPr>
        <w:tc>
          <w:tcPr>
            <w:tcW w:w="5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344,009</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243,201</w:t>
            </w:r>
          </w:p>
        </w:tc>
        <w:tc>
          <w:tcPr>
            <w:tcW w:w="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r>
      <w:tr>
        <w:trPr>
          <w:trHeight w:val="210"/>
        </w:trPr>
        <w:tc>
          <w:tcPr>
            <w:tcW w:w="58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(2,345)</w:t>
            </w:r>
          </w:p>
        </w:tc>
      </w:tr>
      <w:tr>
        <w:trPr>
          <w:trHeight w:val="21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the fair value of contingent earn-out obligations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60" w:type="dxa"/>
            <w:vAlign w:val="bottom"/>
            <w:tcBorders>
              <w:bottom w:val="single" w:sz="8" w:color="CCEEFF"/>
            </w:tcBorders>
          </w:tcPr>
          <w:p>
            <w:pPr>
              <w:spacing w:after="0"/>
              <w:rPr>
                <w:sz w:val="18"/>
                <w:szCs w:val="18"/>
                <w:color w:val="auto"/>
              </w:rPr>
            </w:pPr>
          </w:p>
        </w:tc>
      </w:tr>
      <w:tr>
        <w:trPr>
          <w:trHeight w:val="210"/>
        </w:trPr>
        <w:tc>
          <w:tcPr>
            <w:tcW w:w="5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36,165</w:t>
            </w:r>
          </w:p>
        </w:tc>
        <w:tc>
          <w:tcPr>
            <w:tcW w:w="60" w:type="dxa"/>
            <w:vAlign w:val="bottom"/>
            <w:shd w:val="clear" w:color="auto" w:fill="CCEEFF"/>
          </w:tcPr>
          <w:p>
            <w:pPr>
              <w:spacing w:after="0"/>
              <w:rPr>
                <w:sz w:val="18"/>
                <w:szCs w:val="18"/>
                <w:color w:val="auto"/>
              </w:rPr>
            </w:pPr>
          </w:p>
        </w:tc>
      </w:tr>
      <w:tr>
        <w:trPr>
          <w:trHeight w:val="217"/>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64,896</w:t>
            </w:r>
          </w:p>
        </w:tc>
        <w:tc>
          <w:tcPr>
            <w:tcW w:w="60" w:type="dxa"/>
            <w:vAlign w:val="bottom"/>
            <w:tcBorders>
              <w:bottom w:val="single" w:sz="8" w:color="CCEEFF"/>
            </w:tcBorders>
          </w:tcPr>
          <w:p>
            <w:pPr>
              <w:spacing w:after="0"/>
              <w:rPr>
                <w:sz w:val="18"/>
                <w:szCs w:val="18"/>
                <w:color w:val="auto"/>
              </w:rPr>
            </w:pPr>
          </w:p>
        </w:tc>
      </w:tr>
      <w:tr>
        <w:trPr>
          <w:trHeight w:val="216"/>
        </w:trPr>
        <w:tc>
          <w:tcPr>
            <w:tcW w:w="5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shd w:val="clear" w:color="auto" w:fill="CCEEFF"/>
          </w:tcPr>
          <w:p>
            <w:pPr>
              <w:spacing w:after="0"/>
              <w:rPr>
                <w:sz w:val="20"/>
                <w:szCs w:val="20"/>
                <w:color w:val="auto"/>
              </w:rPr>
            </w:pPr>
          </w:p>
        </w:tc>
      </w:tr>
      <w:tr>
        <w:trPr>
          <w:trHeight w:val="210"/>
        </w:trPr>
        <w:tc>
          <w:tcPr>
            <w:tcW w:w="58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w:t>
            </w: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5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INCOME PER SHARE: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5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37,335</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5880" w:type="dxa"/>
            <w:vAlign w:val="bottom"/>
            <w:tcBorders>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37,811</w:t>
            </w:r>
          </w:p>
        </w:tc>
        <w:tc>
          <w:tcPr>
            <w:tcW w:w="60" w:type="dxa"/>
            <w:vAlign w:val="bottom"/>
            <w:tcBorders>
              <w:bottom w:val="single" w:sz="8" w:color="CCEEFF"/>
            </w:tcBorders>
          </w:tcPr>
          <w:p>
            <w:pPr>
              <w:spacing w:after="0"/>
              <w:rPr>
                <w:sz w:val="18"/>
                <w:szCs w:val="18"/>
                <w:color w:val="auto"/>
              </w:rPr>
            </w:pPr>
          </w:p>
        </w:tc>
      </w:tr>
      <w:tr>
        <w:trPr>
          <w:trHeight w:val="223"/>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0.295</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0.275</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3320" w:type="dxa"/>
            <w:vAlign w:val="bottom"/>
          </w:tcPr>
          <w:p>
            <w:pPr>
              <w:spacing w:after="0"/>
              <w:rPr>
                <w:sz w:val="13"/>
                <w:szCs w:val="13"/>
                <w:color w:val="auto"/>
              </w:rPr>
            </w:pPr>
          </w:p>
        </w:tc>
        <w:tc>
          <w:tcPr>
            <w:tcW w:w="134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29"/>
        </w:trPr>
        <w:tc>
          <w:tcPr>
            <w:tcW w:w="3320" w:type="dxa"/>
            <w:vAlign w:val="bottom"/>
          </w:tcPr>
          <w:p>
            <w:pPr>
              <w:spacing w:after="0"/>
              <w:rPr>
                <w:sz w:val="11"/>
                <w:szCs w:val="11"/>
                <w:color w:val="auto"/>
              </w:rPr>
            </w:pPr>
          </w:p>
        </w:tc>
        <w:tc>
          <w:tcPr>
            <w:tcW w:w="76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70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80" w:type="dxa"/>
            <w:vAlign w:val="bottom"/>
            <w:gridSpan w:val="3"/>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1"/>
                <w:szCs w:val="11"/>
                <w:color w:val="auto"/>
              </w:rPr>
            </w:pPr>
          </w:p>
        </w:tc>
        <w:tc>
          <w:tcPr>
            <w:tcW w:w="6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1"/>
                <w:szCs w:val="11"/>
                <w:color w:val="auto"/>
              </w:rPr>
            </w:pPr>
          </w:p>
        </w:tc>
        <w:tc>
          <w:tcPr>
            <w:tcW w:w="7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29"/>
        </w:trPr>
        <w:tc>
          <w:tcPr>
            <w:tcW w:w="3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2015</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41,123,365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411</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(3,696,781)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(46,845)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323,765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69,390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18,284</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365,005</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Cumulative effect of change in accounting principle</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(38)</w:t>
            </w: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64,896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64,896</w:t>
            </w:r>
          </w:p>
        </w:tc>
        <w:tc>
          <w:tcPr>
            <w:tcW w:w="40" w:type="dxa"/>
            <w:vAlign w:val="bottom"/>
            <w:shd w:val="clear" w:color="auto" w:fill="CCEEFF"/>
          </w:tcPr>
          <w:p>
            <w:pPr>
              <w:spacing w:after="0"/>
              <w:rPr>
                <w:sz w:val="11"/>
                <w:szCs w:val="11"/>
                <w:color w:val="auto"/>
              </w:rPr>
            </w:pP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3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Issuance of shares for options exercised</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111,761</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1,578</w:t>
            </w:r>
          </w:p>
        </w:tc>
        <w:tc>
          <w:tcPr>
            <w:tcW w:w="40" w:type="dxa"/>
            <w:vAlign w:val="bottom"/>
            <w:shd w:val="clear" w:color="auto" w:fill="CCEEFF"/>
          </w:tcPr>
          <w:p>
            <w:pPr>
              <w:spacing w:after="0"/>
              <w:rPr>
                <w:sz w:val="11"/>
                <w:szCs w:val="11"/>
                <w:color w:val="auto"/>
              </w:rPr>
            </w:pPr>
          </w:p>
        </w:tc>
      </w:tr>
      <w:tr>
        <w:trPr>
          <w:trHeight w:val="135"/>
        </w:trPr>
        <w:tc>
          <w:tcPr>
            <w:tcW w:w="332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Issuance of restricted stock &amp; performance stock</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172,727</w:t>
            </w:r>
          </w:p>
        </w:tc>
        <w:tc>
          <w:tcPr>
            <w:tcW w:w="6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2,282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1,976</w:t>
            </w:r>
          </w:p>
        </w:tc>
        <w:tc>
          <w:tcPr>
            <w:tcW w:w="40" w:type="dxa"/>
            <w:vAlign w:val="bottom"/>
          </w:tcPr>
          <w:p>
            <w:pPr>
              <w:spacing w:after="0"/>
              <w:rPr>
                <w:sz w:val="11"/>
                <w:szCs w:val="11"/>
                <w:color w:val="auto"/>
              </w:rPr>
            </w:pPr>
          </w:p>
        </w:tc>
      </w:tr>
      <w:tr>
        <w:trPr>
          <w:trHeight w:val="117"/>
        </w:trPr>
        <w:tc>
          <w:tcPr>
            <w:tcW w:w="33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Shares received in lieu of tax withholding payment on</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3"/>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vested restricted stock</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(41,788)</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(1,304)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(1,304)</w:t>
            </w: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3,502</w:t>
            </w:r>
          </w:p>
        </w:tc>
        <w:tc>
          <w:tcPr>
            <w:tcW w:w="40" w:type="dxa"/>
            <w:vAlign w:val="bottom"/>
          </w:tcPr>
          <w:p>
            <w:pPr>
              <w:spacing w:after="0"/>
              <w:rPr>
                <w:sz w:val="11"/>
                <w:szCs w:val="11"/>
                <w:color w:val="auto"/>
              </w:rPr>
            </w:pP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Dividends</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8"/>
              </w:rPr>
              <w:t>(10,264)</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(10,264)</w:t>
            </w: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Acquisition of noncontrolling interest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(17,346)</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(18,284)</w:t>
            </w:r>
          </w:p>
        </w:tc>
        <w:tc>
          <w:tcPr>
            <w:tcW w:w="10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(35,630)</w:t>
            </w: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Share repurchase</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(460,170)</w:t>
            </w:r>
          </w:p>
        </w:tc>
        <w:tc>
          <w:tcPr>
            <w:tcW w:w="74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(13,088)</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(13,088)</w:t>
            </w:r>
          </w:p>
        </w:tc>
      </w:tr>
      <w:tr>
        <w:trPr>
          <w:trHeight w:val="129"/>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2016</w:t>
            </w: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41,123,365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(3,914,251)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(57,387)</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309,625</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123,984</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376,633</w:t>
            </w:r>
          </w:p>
        </w:tc>
        <w:tc>
          <w:tcPr>
            <w:tcW w:w="40" w:type="dxa"/>
            <w:vAlign w:val="bottom"/>
          </w:tcPr>
          <w:p>
            <w:pPr>
              <w:spacing w:after="0"/>
              <w:rPr>
                <w:sz w:val="11"/>
                <w:szCs w:val="11"/>
                <w:color w:val="auto"/>
              </w:rPr>
            </w:pP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55,272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55,272</w:t>
            </w:r>
          </w:p>
        </w:tc>
        <w:tc>
          <w:tcPr>
            <w:tcW w:w="40" w:type="dxa"/>
            <w:vAlign w:val="bottom"/>
            <w:shd w:val="clear" w:color="auto" w:fill="CCEEFF"/>
          </w:tcPr>
          <w:p>
            <w:pPr>
              <w:spacing w:after="0"/>
              <w:rPr>
                <w:sz w:val="11"/>
                <w:szCs w:val="11"/>
                <w:color w:val="auto"/>
              </w:rPr>
            </w:pP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3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Issuance of shares for options exercised</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145,746</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2,257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2,052</w:t>
            </w:r>
          </w:p>
        </w:tc>
        <w:tc>
          <w:tcPr>
            <w:tcW w:w="40" w:type="dxa"/>
            <w:vAlign w:val="bottom"/>
            <w:shd w:val="clear" w:color="auto" w:fill="CCEEFF"/>
          </w:tcPr>
          <w:p>
            <w:pPr>
              <w:spacing w:after="0"/>
              <w:rPr>
                <w:sz w:val="11"/>
                <w:szCs w:val="11"/>
                <w:color w:val="auto"/>
              </w:rPr>
            </w:pPr>
          </w:p>
        </w:tc>
      </w:tr>
      <w:tr>
        <w:trPr>
          <w:trHeight w:val="135"/>
        </w:trPr>
        <w:tc>
          <w:tcPr>
            <w:tcW w:w="332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Issuance of restricted stock &amp; performance stock</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134,646</w:t>
            </w:r>
          </w:p>
        </w:tc>
        <w:tc>
          <w:tcPr>
            <w:tcW w:w="6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(421)</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1,616</w:t>
            </w:r>
          </w:p>
        </w:tc>
        <w:tc>
          <w:tcPr>
            <w:tcW w:w="40" w:type="dxa"/>
            <w:vAlign w:val="bottom"/>
          </w:tcPr>
          <w:p>
            <w:pPr>
              <w:spacing w:after="0"/>
              <w:rPr>
                <w:sz w:val="11"/>
                <w:szCs w:val="11"/>
                <w:color w:val="auto"/>
              </w:rPr>
            </w:pPr>
          </w:p>
        </w:tc>
      </w:tr>
      <w:tr>
        <w:trPr>
          <w:trHeight w:val="117"/>
        </w:trPr>
        <w:tc>
          <w:tcPr>
            <w:tcW w:w="33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Shares received in lieu of tax withholding payment on</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3"/>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vested restricted stock</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(39,335)</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(1,419)</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(1,419)</w:t>
            </w: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3,785</w:t>
            </w:r>
          </w:p>
        </w:tc>
        <w:tc>
          <w:tcPr>
            <w:tcW w:w="40" w:type="dxa"/>
            <w:vAlign w:val="bottom"/>
          </w:tcPr>
          <w:p>
            <w:pPr>
              <w:spacing w:after="0"/>
              <w:rPr>
                <w:sz w:val="11"/>
                <w:szCs w:val="11"/>
                <w:color w:val="auto"/>
              </w:rPr>
            </w:pP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Dividends</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8"/>
              </w:rPr>
              <w:t>(10,987)</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(10,987)</w:t>
            </w: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Share repurchase</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(263,097)</w:t>
            </w:r>
          </w:p>
        </w:tc>
        <w:tc>
          <w:tcPr>
            <w:tcW w:w="74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(9,007)</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(9,007)</w:t>
            </w:r>
          </w:p>
        </w:tc>
      </w:tr>
      <w:tr>
        <w:trPr>
          <w:trHeight w:val="129"/>
        </w:trPr>
        <w:tc>
          <w:tcPr>
            <w:tcW w:w="3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2017</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41,123,365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411</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(3,936,291)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(63,519)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312,784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168,269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417,945</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112,903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112,903</w:t>
            </w:r>
          </w:p>
        </w:tc>
        <w:tc>
          <w:tcPr>
            <w:tcW w:w="40" w:type="dxa"/>
            <w:vAlign w:val="bottom"/>
          </w:tcPr>
          <w:p>
            <w:pPr>
              <w:spacing w:after="0"/>
              <w:rPr>
                <w:sz w:val="11"/>
                <w:szCs w:val="11"/>
                <w:color w:val="auto"/>
              </w:rPr>
            </w:pP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Stock:</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32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Issuance of shares for options exercised</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206,875</w:t>
            </w:r>
          </w:p>
        </w:tc>
        <w:tc>
          <w:tcPr>
            <w:tcW w:w="6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3,618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(513)</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3,105</w:t>
            </w:r>
          </w:p>
        </w:tc>
        <w:tc>
          <w:tcPr>
            <w:tcW w:w="40" w:type="dxa"/>
            <w:vAlign w:val="bottom"/>
          </w:tcPr>
          <w:p>
            <w:pPr>
              <w:spacing w:after="0"/>
              <w:rPr>
                <w:sz w:val="11"/>
                <w:szCs w:val="11"/>
                <w:color w:val="auto"/>
              </w:rPr>
            </w:pPr>
          </w:p>
        </w:tc>
      </w:tr>
      <w:tr>
        <w:trPr>
          <w:trHeight w:val="135"/>
        </w:trPr>
        <w:tc>
          <w:tcPr>
            <w:tcW w:w="33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Issuance of restricted stock &amp; performance stock</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129,569</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2,223</w:t>
            </w:r>
          </w:p>
        </w:tc>
        <w:tc>
          <w:tcPr>
            <w:tcW w:w="40" w:type="dxa"/>
            <w:vAlign w:val="bottom"/>
            <w:shd w:val="clear" w:color="auto" w:fill="CCEEFF"/>
          </w:tcPr>
          <w:p>
            <w:pPr>
              <w:spacing w:after="0"/>
              <w:rPr>
                <w:sz w:val="11"/>
                <w:szCs w:val="11"/>
                <w:color w:val="auto"/>
              </w:rPr>
            </w:pPr>
          </w:p>
        </w:tc>
      </w:tr>
      <w:tr>
        <w:trPr>
          <w:trHeight w:val="117"/>
        </w:trPr>
        <w:tc>
          <w:tcPr>
            <w:tcW w:w="332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Shares received in lieu of tax withholding payment on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3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vested restricted stock</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(36,967)</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(1,540)</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(1,540)</w:t>
            </w: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4,212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4,212</w:t>
            </w:r>
          </w:p>
        </w:tc>
        <w:tc>
          <w:tcPr>
            <w:tcW w:w="40" w:type="dxa"/>
            <w:vAlign w:val="bottom"/>
            <w:shd w:val="clear" w:color="auto" w:fill="CCEEFF"/>
          </w:tcPr>
          <w:p>
            <w:pPr>
              <w:spacing w:after="0"/>
              <w:rPr>
                <w:sz w:val="11"/>
                <w:szCs w:val="11"/>
                <w:color w:val="auto"/>
              </w:rPr>
            </w:pP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Dividends</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8"/>
              </w:rPr>
              <w:t>(12,268)</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(12,268)</w:t>
            </w: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Share repurchase</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(592,839)</w:t>
            </w:r>
          </w:p>
        </w:tc>
        <w:tc>
          <w:tcPr>
            <w:tcW w:w="74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(28,533)</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(28,533)</w:t>
            </w:r>
          </w:p>
        </w:tc>
      </w:tr>
      <w:tr>
        <w:trPr>
          <w:trHeight w:val="136"/>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2018</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41,123,365</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(4,229,653)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(87,747)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316,479</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268,904</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498,047</w:t>
            </w:r>
          </w:p>
        </w:tc>
        <w:tc>
          <w:tcPr>
            <w:tcW w:w="40" w:type="dxa"/>
            <w:vAlign w:val="bottom"/>
          </w:tcPr>
          <w:p>
            <w:pPr>
              <w:spacing w:after="0"/>
              <w:rPr>
                <w:sz w:val="11"/>
                <w:szCs w:val="1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19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112,903</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55,272</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64,896</w:t>
            </w:r>
          </w:p>
        </w:tc>
        <w:tc>
          <w:tcPr>
            <w:tcW w:w="8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identifiable intangible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80" w:type="dxa"/>
            <w:vAlign w:val="bottom"/>
          </w:tcPr>
          <w:p>
            <w:pPr>
              <w:spacing w:after="0"/>
              <w:rPr>
                <w:sz w:val="17"/>
                <w:szCs w:val="17"/>
                <w:color w:val="auto"/>
              </w:rPr>
            </w:pPr>
          </w:p>
        </w:tc>
      </w:tr>
      <w:tr>
        <w:trPr>
          <w:trHeight w:val="203"/>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expense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17,981</w:t>
            </w: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impairment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 (benefit)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provision (benefit)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(1,239)</w:t>
            </w:r>
          </w:p>
        </w:tc>
      </w:tr>
      <w:tr>
        <w:trPr>
          <w:trHeight w:val="203"/>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financing costs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(761)</w:t>
            </w:r>
          </w:p>
        </w:tc>
      </w:tr>
      <w:tr>
        <w:trPr>
          <w:trHeight w:val="203"/>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the fair value of contingent earn-out obligations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(3,715)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(731)</w:t>
            </w:r>
          </w:p>
        </w:tc>
      </w:tr>
      <w:tr>
        <w:trPr>
          <w:trHeight w:val="20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w:t>
            </w:r>
          </w:p>
        </w:tc>
        <w:tc>
          <w:tcPr>
            <w:tcW w:w="80" w:type="dxa"/>
            <w:vAlign w:val="bottom"/>
          </w:tcPr>
          <w:p>
            <w:pPr>
              <w:spacing w:after="0"/>
              <w:rPr>
                <w:sz w:val="17"/>
                <w:szCs w:val="17"/>
                <w:color w:val="auto"/>
              </w:rPr>
            </w:pPr>
          </w:p>
        </w:tc>
      </w:tr>
      <w:tr>
        <w:trPr>
          <w:trHeight w:val="203"/>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 and divestitures—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(Increase) decrease 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Receivables,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(68,621)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(37,799)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7"/>
                <w:szCs w:val="17"/>
                <w:color w:val="auto"/>
              </w:rPr>
            </w:pPr>
          </w:p>
        </w:tc>
      </w:tr>
      <w:tr>
        <w:trPr>
          <w:trHeight w:val="203"/>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(8,850)</w:t>
            </w:r>
          </w:p>
        </w:tc>
      </w:tr>
      <w:tr>
        <w:trPr>
          <w:trHeight w:val="203"/>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Costs and estimated earnings in excess of billings and unbilled accounts receivable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(14,444)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80" w:type="dxa"/>
            <w:vAlign w:val="bottom"/>
          </w:tcPr>
          <w:p>
            <w:pPr>
              <w:spacing w:after="0"/>
              <w:rPr>
                <w:sz w:val="17"/>
                <w:szCs w:val="17"/>
                <w:color w:val="auto"/>
              </w:rPr>
            </w:pPr>
          </w:p>
        </w:tc>
      </w:tr>
      <w:tr>
        <w:trPr>
          <w:trHeight w:val="203"/>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w:t>
            </w:r>
          </w:p>
        </w:tc>
      </w:tr>
      <w:tr>
        <w:trPr>
          <w:trHeight w:val="203"/>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Increase (decrease) 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Billings in excess of costs and estimated earnings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(8,351)</w:t>
            </w:r>
          </w:p>
        </w:tc>
      </w:tr>
      <w:tr>
        <w:trPr>
          <w:trHeight w:val="203"/>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80" w:type="dxa"/>
            <w:vAlign w:val="bottom"/>
            <w:shd w:val="clear" w:color="auto" w:fill="CCEEFF"/>
          </w:tcPr>
          <w:p>
            <w:pPr>
              <w:spacing w:after="0"/>
              <w:rPr>
                <w:sz w:val="17"/>
                <w:szCs w:val="17"/>
                <w:color w:val="auto"/>
              </w:rPr>
            </w:pPr>
          </w:p>
        </w:tc>
      </w:tr>
      <w:tr>
        <w:trPr>
          <w:trHeight w:val="196"/>
        </w:trPr>
        <w:tc>
          <w:tcPr>
            <w:tcW w:w="6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147,190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114,090</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91,188</w:t>
            </w:r>
          </w:p>
        </w:tc>
        <w:tc>
          <w:tcPr>
            <w:tcW w:w="80" w:type="dxa"/>
            <w:vAlign w:val="bottom"/>
            <w:tcBorders>
              <w:bottom w:val="single" w:sz="8" w:color="CCEEFF"/>
            </w:tcBorders>
          </w:tcPr>
          <w:p>
            <w:pPr>
              <w:spacing w:after="0"/>
              <w:rPr>
                <w:sz w:val="17"/>
                <w:szCs w:val="17"/>
                <w:color w:val="auto"/>
              </w:rPr>
            </w:pPr>
          </w:p>
        </w:tc>
      </w:tr>
      <w:tr>
        <w:trPr>
          <w:trHeight w:val="19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(27,268)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(35,467)</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(23,217)</w:t>
            </w:r>
          </w:p>
        </w:tc>
      </w:tr>
      <w:tr>
        <w:trPr>
          <w:trHeight w:val="203"/>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(70,140)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(94,860)</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(57,163)</w:t>
            </w:r>
          </w:p>
        </w:tc>
      </w:tr>
      <w:tr>
        <w:trPr>
          <w:trHeight w:val="196"/>
        </w:trPr>
        <w:tc>
          <w:tcPr>
            <w:tcW w:w="62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(95,710)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(128,968)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(79,318)</w:t>
            </w:r>
          </w:p>
        </w:tc>
        <w:tc>
          <w:tcPr>
            <w:tcW w:w="80" w:type="dxa"/>
            <w:vAlign w:val="bottom"/>
            <w:tcBorders>
              <w:top w:val="single" w:sz="8" w:color="CCEEFF"/>
            </w:tcBorders>
            <w:shd w:val="clear" w:color="auto" w:fill="CCEEFF"/>
          </w:tcPr>
          <w:p>
            <w:pPr>
              <w:spacing w:after="0"/>
              <w:rPr>
                <w:sz w:val="17"/>
                <w:szCs w:val="17"/>
                <w:color w:val="auto"/>
              </w:rPr>
            </w:pPr>
          </w:p>
        </w:tc>
      </w:tr>
      <w:tr>
        <w:trPr>
          <w:trHeight w:val="19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revolving line of credit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144,000</w:t>
            </w: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on revolving line of credit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8"/>
              </w:rPr>
              <w:t>(132,000)</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(154,000)</w:t>
            </w:r>
          </w:p>
        </w:tc>
      </w:tr>
      <w:tr>
        <w:trPr>
          <w:trHeight w:val="203"/>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on other debt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(592)</w:t>
            </w:r>
          </w:p>
        </w:tc>
      </w:tr>
      <w:tr>
        <w:trPr>
          <w:trHeight w:val="203"/>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on capital lease obligations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(251)</w:t>
            </w:r>
          </w:p>
        </w:tc>
      </w:tr>
      <w:tr>
        <w:trPr>
          <w:trHeight w:val="203"/>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Debt financing costs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(789)</w:t>
            </w:r>
          </w:p>
        </w:tc>
      </w:tr>
      <w:tr>
        <w:trPr>
          <w:trHeight w:val="203"/>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of dividends to stockholders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(10,987)</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(10,264)</w:t>
            </w:r>
          </w:p>
        </w:tc>
      </w:tr>
      <w:tr>
        <w:trPr>
          <w:trHeight w:val="203"/>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 repurchase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(28,533)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(9,007)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(13,088)</w:t>
            </w:r>
          </w:p>
        </w:tc>
      </w:tr>
      <w:tr>
        <w:trPr>
          <w:trHeight w:val="203"/>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received in lieu of tax withholding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(1,304)</w:t>
            </w:r>
          </w:p>
        </w:tc>
      </w:tr>
      <w:tr>
        <w:trPr>
          <w:trHeight w:val="203"/>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80" w:type="dxa"/>
            <w:vAlign w:val="bottom"/>
            <w:shd w:val="clear" w:color="auto" w:fill="CCEEFF"/>
          </w:tcPr>
          <w:p>
            <w:pPr>
              <w:spacing w:after="0"/>
              <w:rPr>
                <w:sz w:val="17"/>
                <w:szCs w:val="17"/>
                <w:color w:val="auto"/>
              </w:rPr>
            </w:pPr>
          </w:p>
        </w:tc>
      </w:tr>
      <w:tr>
        <w:trPr>
          <w:trHeight w:val="203"/>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acquisition payments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(1,350)</w:t>
            </w:r>
          </w:p>
        </w:tc>
      </w:tr>
      <w:tr>
        <w:trPr>
          <w:trHeight w:val="203"/>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for contingent consideration arrangements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w:t>
            </w:r>
          </w:p>
        </w:tc>
      </w:tr>
      <w:tr>
        <w:trPr>
          <w:trHeight w:val="196"/>
        </w:trPr>
        <w:tc>
          <w:tcPr>
            <w:tcW w:w="6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(42,402)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19,346</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(36,260)</w:t>
            </w:r>
          </w:p>
        </w:tc>
        <w:tc>
          <w:tcPr>
            <w:tcW w:w="80" w:type="dxa"/>
            <w:vAlign w:val="bottom"/>
            <w:tcBorders>
              <w:bottom w:val="single" w:sz="8" w:color="CCEEFF"/>
            </w:tcBorders>
          </w:tcPr>
          <w:p>
            <w:pPr>
              <w:spacing w:after="0"/>
              <w:rPr>
                <w:sz w:val="17"/>
                <w:szCs w:val="17"/>
                <w:color w:val="auto"/>
              </w:rPr>
            </w:pPr>
          </w:p>
        </w:tc>
      </w:tr>
      <w:tr>
        <w:trPr>
          <w:trHeight w:val="19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80" w:type="dxa"/>
            <w:vAlign w:val="bottom"/>
            <w:shd w:val="clear" w:color="auto" w:fill="CCEEFF"/>
          </w:tcPr>
          <w:p>
            <w:pPr>
              <w:spacing w:after="0"/>
              <w:rPr>
                <w:sz w:val="17"/>
                <w:szCs w:val="17"/>
                <w:color w:val="auto"/>
              </w:rPr>
            </w:pPr>
          </w:p>
        </w:tc>
      </w:tr>
      <w:tr>
        <w:trPr>
          <w:trHeight w:val="19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32,074</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56,464</w:t>
            </w:r>
          </w:p>
        </w:tc>
        <w:tc>
          <w:tcPr>
            <w:tcW w:w="80" w:type="dxa"/>
            <w:vAlign w:val="bottom"/>
            <w:tcBorders>
              <w:bottom w:val="single" w:sz="8" w:color="CCEEFF"/>
            </w:tcBorders>
          </w:tcPr>
          <w:p>
            <w:pPr>
              <w:spacing w:after="0"/>
              <w:rPr>
                <w:sz w:val="17"/>
                <w:szCs w:val="17"/>
                <w:color w:val="auto"/>
              </w:rPr>
            </w:pPr>
          </w:p>
        </w:tc>
      </w:tr>
      <w:tr>
        <w:trPr>
          <w:trHeight w:val="203"/>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36,542</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32,074</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Organization</w:t>
      </w:r>
    </w:p>
    <w:p>
      <w:pPr>
        <w:spacing w:after="0" w:line="189"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Comfort Systems USA, Inc., a Delaware corporation, provides comprehensive mechanical contracting services, which principally includes heating, ventilation and air conditioning (“HVAC”), plumbing, piping and controls, as well as off-site construction, electrical, monitoring and fire protection. We install, maintain, repair and replace products and systems throughout the United States. Approximately 38.0% of our consolidated 2018 revenue is attributable to installation of systems in newly constructed facilities, with the remaining 62.0% attributable to maintenance, repair and replacement services. The terms “Comfort Systems,” “we,” “us,” or “the Company,” refer to Comfort Systems USA, Inc. or Comfort Systems USA, Inc. and its consolidated subsidiaries, as appropriate in the context.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9"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prepared in accordance with accounting principles generally accepted in the United States of America. The accompanying consolidated financial statements include our accounts and those of our subsidiaries in which we have a controlling interest. All significant intercompany accounts and transactions have been eliminated. Certain amounts in prior periods may have been reclassified to conform to the current period presentation. The effects of the reclassifications were not material to the consolidated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9" w:firstLine="648"/>
        <w:spacing w:after="0" w:line="220" w:lineRule="exact"/>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the use of estimates and assumptions by management in determining the reported amounts of assets and liabilities, revenue and expenses and disclosures regarding contingent assets and liabilities. Actual results could differ from those estimates. The most significant estimates used in our financial statements affect revenue and cost recognition for construction contracts, the allowance for doubtful accounts,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accruals, deferred tax assets, warranty accruals, fair value accounting for acquisitions and the quantification of fair value for reporting units in connection with our goodwill impairment testing.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229" w:lineRule="exact"/>
        <w:rPr>
          <w:sz w:val="20"/>
          <w:szCs w:val="20"/>
          <w:color w:val="auto"/>
        </w:rPr>
      </w:pPr>
    </w:p>
    <w:p>
      <w:pPr>
        <w:ind w:right="339" w:firstLine="648"/>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(in thousands) for:</w:t>
      </w:r>
    </w:p>
    <w:p>
      <w:pPr>
        <w:spacing w:after="0" w:line="23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7620</wp:posOffset>
            </wp:positionV>
            <wp:extent cx="16554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5700"/>
        <w:spacing w:after="0"/>
        <w:tabs>
          <w:tab w:leader="none" w:pos="6560" w:val="left"/>
          <w:tab w:leader="none" w:pos="75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27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r>
      <w:tr>
        <w:trPr>
          <w:trHeight w:val="190"/>
        </w:trPr>
        <w:tc>
          <w:tcPr>
            <w:tcW w:w="2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Interest</w:t>
            </w:r>
          </w:p>
        </w:tc>
        <w:tc>
          <w:tcPr>
            <w:tcW w:w="19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3,743</w:t>
            </w:r>
          </w:p>
        </w:tc>
        <w:tc>
          <w:tcPr>
            <w:tcW w:w="2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2,832</w:t>
            </w:r>
          </w:p>
        </w:tc>
        <w:tc>
          <w:tcPr>
            <w:tcW w:w="36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1,864</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29,349</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39" w:firstLine="648"/>
        <w:spacing w:after="0" w:line="258"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“Revenue from Contracts with Customers (Topic 606).” Topic 606 supersedes the revenue recognition requirements in “Revenue Recognition (Topic 605)” and requires entities to recognize revenue when control of the promised goods or services is transferred to customers at an amount that reflects the consideration to which the entity expects to be entitled in exchange for those goods or services. We adopted Topic 606 as of January 1, 2018.</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applied the modified retrospective method to those contracts which were not completed as of January 1, 2018. Under the modified retrospective method, the cumulative effect of applying the standard is recognized at the date of initial application. Results for reporting periods beginning after January 1, 2018 are presented under Topic 606, while prior period amounts are not adjusted and continue to be reported in accordance with our historic accounting under Topic 605.</w:t>
      </w:r>
    </w:p>
    <w:p>
      <w:pPr>
        <w:spacing w:after="0" w:line="18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implementing Topic 606, we were required to recalculate the revenue earned on any work in process at the implementation date and to restate the revenue and cost of services as if Topic 606 had been followed from the inception of the contract. In recalculating costs and revenue under Topic 606 guidelines, we identified no material difference in the account balances. Since a material difference was not found, no retrospective analysis of account balance changes was required.</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This standard provides guidance on how certain cash receipts and cash payments are presented and classified in the statement of cash flows and is intended to reduce diversity in practice with respect to these items. The standard is applied using a retrospective transition method and is effective for fiscal years beginning after December 15, 2017, including interim periods within those fiscal years. We adopted this standard on January 1, 2018 and the adoption did not have any impact on our consolidated financial statements.</w:t>
      </w:r>
    </w:p>
    <w:p>
      <w:pPr>
        <w:spacing w:after="0" w:line="18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The standard requires substantially all leases (with the exception of leases with a term of one year or less) to be recorded on the balance sheet using a method referred to as the right-of-use asset approach. ASU 2016-02 is effective for fiscal years beginning after December 15, 2018 and interim periods within those years. Early adoption is permitted. Full retrospective application is prohibited. We plan to use a transition method allowed by ASU No. 2018-11, “Leases (Topic 842) Targeted Improvements” in which lessees apply the new lease standard on the adoption date and recognize a cumulative-effect adjustment to the opening balance of retained earnings in the period of adoption. We do not expect the adoption of ASU 2016-02 to have a significant impact to our Statement of Operations or Cash Flows. Our Balance Sheet will be impacted from this standard by recording right-of-use assets and lease liabilities, which we currently expect to be less than $75 million.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Disclosure Framework</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Changes to the Disclosure Requirements for Fair Value Measurement”. This standard removes certain disclosure requirements including the valuation processes for Level 3 fair value measurements, the policy for timing of transfers between levels and the amount of and reasons for transfers between Level 1 and Level 2 of the fair value hierarchy. The standard requires certain additional disclosures for public entities, including disclosure of the changes in unrealized gains and losses included in Other Comprehensive Income for Level 3 fair value measurements and the range and weighted average of significant unobservable inputs used to develop Level 3 fair value measurements. ASU 2018-13 is effective for fiscal years beginning after December 15, 2019 and interim periods within those years. Certain amendments, including the amendment on changes in unrealized gains and losses and the range and weighted average of significant unobservable inputs, should be applied prospectively while other amendments should be applied retrospectively to all periods presented upon their effective date. We are currently evaluating the potential impact of this authoritative guidance on our consolidated financial statements.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 consideration to which we expect to be entitled in exchange for those goods or services. Sales-based taxes are excluded from revenue.</w:t>
      </w:r>
    </w:p>
    <w:p>
      <w:pPr>
        <w:spacing w:after="0" w:line="176"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We provide comprehensive mechanical contracting services, which principally includes HVAC, plumbing, piping and controls, as well as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construction, electrical, monitoring and fire protection. We install, maintain, repair and replace products and systems throughout the United States. All of our revenue is recognized over time as we deliver goods and services to our customers. Revenue can be earned based on an agreed upon fixed price or based on actual costs incurred, marked up at an agreed upon percentage.</w:t>
      </w:r>
    </w:p>
    <w:p>
      <w:pPr>
        <w:spacing w:after="0" w:line="201" w:lineRule="exact"/>
        <w:rPr>
          <w:sz w:val="20"/>
          <w:szCs w:val="20"/>
          <w:color w:val="auto"/>
        </w:rPr>
      </w:pPr>
    </w:p>
    <w:p>
      <w:pPr>
        <w:ind w:right="580" w:firstLine="648"/>
        <w:spacing w:after="0" w:line="313" w:lineRule="auto"/>
        <w:rPr>
          <w:sz w:val="20"/>
          <w:szCs w:val="20"/>
          <w:color w:val="auto"/>
        </w:rPr>
      </w:pPr>
      <w:r>
        <w:rPr>
          <w:rFonts w:ascii="Times New Roman" w:cs="Times New Roman" w:eastAsia="Times New Roman" w:hAnsi="Times New Roman"/>
          <w:sz w:val="17"/>
          <w:szCs w:val="17"/>
          <w:color w:val="auto"/>
        </w:rPr>
        <w:t>For fixed price agreements, we use the percentage of completion method of accounting under which contract revenue recognizable at any time during the life of a contract is determined by multiplying expected total contract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revenue by the percentage of contract costs incurred at any time to total estimated contract costs. More specifically, as part of the negotiation and bidding process to obtain installation contracts, we estimate our contract costs, which include all direct materials, labor and subcontract costs and indirect costs related to contract performance, such as indirect labor, supplies, tools, repairs and depreciation costs. These contract costs are included in our results of operations under the caption “Cost of Services.” Then, as we perform under those contracts, we measure costs incurred, compare them to total estimated costs to complete the contract and recognize a corresponding proportion of contract revenue. Labor costs are considered to be incurred as the work is performed. Subcontractor labor is recognized as the work is performed.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labor project costs consist of purchased equipment, prefabricated materials and other materials. Purchased equipment on our projects is substantially produced to job specifications and is a value-added element to our work. The costs are considered to be incurred when title is transferred to us, which typically is upon delivery to the work site. Prefabricated materials, such as ductwork and piping, are generally performed at our shops and recognized as contract costs when fabricated for the unique specifications of the job. Other materials costs are generally recorded when delivered to the work site. This measurement and comparison process requires updates to the estimate of total costs to complete the contract, and these updates may include subjective assessments and judgments.</w:t>
      </w:r>
    </w:p>
    <w:p>
      <w:pPr>
        <w:spacing w:after="0" w:line="19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either have written authorization from the customer to proceed or an executed contract.</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Selling, marketing and estimation costs incurred in relation to selling contracts are expensed as incurred. On rare occasions, we may incur significant expenses related to selling a contract that we only incurred because we sold that contract. If this occurs, we capitalize that cost and amortize it on a percentage of completion basis over the life of the contract. We do not currently have any capitalized selling, marketing, or estimation costs on our Balance Sheet and did not incur any impairment loss in the current year.</w:t>
      </w:r>
    </w:p>
    <w:p>
      <w:pPr>
        <w:spacing w:after="0" w:line="184" w:lineRule="exact"/>
        <w:rPr>
          <w:sz w:val="20"/>
          <w:szCs w:val="20"/>
          <w:color w:val="auto"/>
        </w:rPr>
      </w:pPr>
    </w:p>
    <w:p>
      <w:pPr>
        <w:ind w:right="60" w:firstLine="648"/>
        <w:spacing w:after="0" w:line="220" w:lineRule="exact"/>
        <w:rPr>
          <w:sz w:val="20"/>
          <w:szCs w:val="20"/>
          <w:color w:val="auto"/>
        </w:rPr>
      </w:pPr>
      <w:r>
        <w:rPr>
          <w:rFonts w:ascii="Times New Roman" w:cs="Times New Roman" w:eastAsia="Times New Roman" w:hAnsi="Times New Roman"/>
          <w:sz w:val="18"/>
          <w:szCs w:val="18"/>
          <w:color w:val="auto"/>
        </w:rPr>
        <w:t>We generally do not incur significant incremental costs related to obtaining or fulfilling a contract prior to the start of a project. On rare occasions, when significant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 costs are incurred, they are capitalized and amortized on a percentage of completion basis over the life of the contract. We do not currently have any capitalized obtaining or fulfillment costs on our Balance Sheet and did not incur any impairment loss on such costs in the current year.</w:t>
      </w:r>
    </w:p>
    <w:p>
      <w:pPr>
        <w:spacing w:after="0" w:line="20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Project contracts typically provide for a schedule of billings or invoices to the customer based on our job to date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or invoiced to the customer at any point during the contract. Amounts by which cumulative contract revenue recognized on a contract as of a given date exceed cumulative billings and unbilled receivables to the customer under the contract are reflected as a current asset in our balance sheet under the caption “Costs and estimated earnings in excess of billings.” Amounts by which cumulative billings to the customer under a contract as of a given date exceed cumulative contract revenue recognized on the contract are reflected as a current liability in our balance sheet under the caption “Billings in excess of costs and estimated earnings.”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Contracts in progress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incurred on contracts in progress</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Estimated earnings, net of losses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Less—Billings to date</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(1,958,567)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Less—Unbilled accounts receivable</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(120,773)</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2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spacing w:after="0"/>
              <w:rPr>
                <w:sz w:val="19"/>
                <w:szCs w:val="19"/>
                <w:color w:val="auto"/>
              </w:rPr>
            </w:pPr>
          </w:p>
        </w:tc>
        <w:tc>
          <w:tcPr>
            <w:tcW w:w="2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8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include amounts billed to customers under retention or retainage provisions in construction contracts. Such provisions are standard in our industry and usually allow for a small portion of progress billings or the contract price to be withheld by the customer until after we have completed work on the project, typically for a period of six months. Based on our experience with similar contracts in recent years, the majority of our billings for such retention balances at each balance sheet date are finalized and collected within the subsequent year. Retention balances at December 31, 2018 and 2017 were $80.8 million and $68.7 million, respectively, and are included in accounts receivable.</w:t>
      </w:r>
    </w:p>
    <w:p>
      <w:pPr>
        <w:spacing w:after="0" w:line="215"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Accounts payable at December 31, 2018 and 2017 included $13.7 million and $11.9 million of retainage under terms of contracts with subcontractors, respectively. The majority of the retention balances at each balance sheet date are finalized and paid within the subsequent year.</w:t>
      </w:r>
    </w:p>
    <w:p>
      <w:pPr>
        <w:spacing w:after="0" w:line="19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percentage of completion method of accounting is also affected by changes in job performance, job conditions, and final contract settlements. These factors may result in revisions to estimated costs and, therefore, revenue. Such revisions are frequently based on further estimates and subjective assessments. The effects of these revisions are recognized in the period in which revisions are determined. When such revisions lead to a conclusion that a loss will be recognized on a contract, the full amount of the estimated ultimate loss is recognized in the period such conclusion is reached, regardless of the percentage of completion of the contract.</w:t>
      </w:r>
    </w:p>
    <w:p>
      <w:pPr>
        <w:spacing w:after="0" w:line="2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Revisions to project costs and conditions can give rise to change orders under which the customer agrees to pay additional contract price. Revisions can also result in claims we might make against the customer to recover project variances that have not been satisfactorily addressed through change orders with the customer. Except in certain circumstances, we do not recognize revenue or margin based on change orders or claims until they have been agreed upon with the customer. The amount of revenue associated with unapproved change orders and claims was immaterial for the year ended December 31, 2018.</w:t>
      </w:r>
    </w:p>
    <w:p>
      <w:pPr>
        <w:spacing w:after="0" w:line="20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Variations from estimated project costs could have a significant impact on our operating results, depending on project size, and the recoverability of the variation via additional customer payments.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typically invoice our customers with payment terms of net due in 30 days. It is common in the construction industry for a contract to specify more lenient payment terms allowing the customer 45 to 60 days to make their payment. It is also common for the contract in the construction industry to specify that a general contractor is not required to submit payments to a subcontractor until it has received those funds from the owner or funding source. In most instances we receive payment of our invoices between 30 to 90 days of the date of the invoice.</w:t>
      </w:r>
    </w:p>
    <w:p>
      <w:pPr>
        <w:spacing w:after="0" w:line="21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w:t>
      </w:r>
    </w:p>
    <w:p>
      <w:pPr>
        <w:spacing w:after="0" w:line="17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To determine the proper revenue recognition method for contracts, we evaluate whether two or more contracts should be combined and accounted for as one performance obligation and whether the combined or single contract should be accounted for as more than one performance obligation. This evaluation requires significant judgment and the decision to combine a group of contracts or separate the combined or single contract into multiple performance obligations could change the amount of revenue and profit recorded in a given period. For most of our contracts, the customer contracts with us to provide a significant service of integrating a complex set of tasks and components into a single project or capability (even if that single project results in the delivery of multiple units). Hence, the entire contract is accounted for as one performance obligation. Less commonly, however, we may promise to provide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We infrequently sell standard products with observable standalone sales. In cases where we do, the observable standalone sales are used to determine the standalone selling price. More frequently, we sell a customized customer specific solution, and in these cases, we typically use the expected cost plus a margin approach to estimate the standalone selling price of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over time for all of our services as we perform them because (i) control continuously transfers to that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the Company.</w:t>
      </w:r>
    </w:p>
    <w:p>
      <w:pPr>
        <w:spacing w:after="0" w:line="17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 the reasons listed above,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 to cost measure of progress for our contracts, as it best depicts the transfer of assets to the customer that occurs as we incur costs on our contracts. Under the cost to cost measure of progress, the extent of progress towards completion is measured based on the ratio of costs incurred to date to the total estimated costs at completion of the performance obligation. Revenue, including estimated fees or profits, is recorded proportionally as costs are incurred. Costs to fulfill include labor, materials and subcontractors’ costs, other direct costs and an allocation of indirect costs.</w:t>
      </w:r>
    </w:p>
    <w:p>
      <w:pPr>
        <w:spacing w:after="0" w:line="17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For a small portion of our business in which our services are delivered in the form of service maintenance agreements for existing systems to be repaired and maintained, as opposed to constructed, our performance obligation is to maintain the customer’s mechanical system for a specific period of time. Similar to jobs, we recognize revenue over time; however, for service maintenance agreements in which the full cost to provide services may not be known, we generally use an input method to recognize revenue, which is based on the amount of time we have provided our services out of the total time we have been contracted to perform those services.</w:t>
      </w:r>
    </w:p>
    <w:p>
      <w:pPr>
        <w:spacing w:after="0" w:line="174"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Due to the nature of the work required to be performed on many of our performance obligations, the estimation of total revenue and cost at completion (the process described below in more detail) is complex, subject to many variables and requires significant judgment. The consideration to which we are entitled on our long-term contracts may include both fixed and variable amounts. Variable amounts can either increase or decrease the transaction price. A common example of variable amounts that can either increase or decrease contract value are pending change orders that represent contract modifications for which a change in scope has been authorized or acknowledged by our customer, but the final adjustment to contract price is yet to be negotiated. Other examples of positive variable revenue include amounts awarded upon achievement of certain performance metrics, program milestones or cost of completion date targets and can be based upon customer</w:t>
      </w:r>
    </w:p>
    <w:p>
      <w:pPr>
        <w:spacing w:after="0" w:line="1" w:lineRule="exact"/>
        <w:rPr>
          <w:sz w:val="20"/>
          <w:szCs w:val="20"/>
          <w:color w:val="auto"/>
        </w:rPr>
      </w:pPr>
    </w:p>
    <w:p>
      <w:pPr>
        <w:ind w:right="880"/>
        <w:spacing w:after="0" w:line="261" w:lineRule="auto"/>
        <w:rPr>
          <w:sz w:val="20"/>
          <w:szCs w:val="20"/>
          <w:color w:val="auto"/>
        </w:rPr>
      </w:pPr>
      <w:r>
        <w:rPr>
          <w:rFonts w:ascii="Times New Roman" w:cs="Times New Roman" w:eastAsia="Times New Roman" w:hAnsi="Times New Roman"/>
          <w:sz w:val="18"/>
          <w:szCs w:val="18"/>
          <w:color w:val="auto"/>
        </w:rPr>
        <w:t>discretion. Variable amounts can result in a deduction from contract revenue if we fail to meet stated performance requirements, such as complying with the construction schedule.</w:t>
      </w:r>
    </w:p>
    <w:p>
      <w:pPr>
        <w:spacing w:after="0" w:line="16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performance obligation(s). The effect of a contract modification on the transaction price, and our measure of progress for the performance obligation to which it relates, is recognized as an adjustment to revenue (either as an increase or decrease) on a cumulative catchup basis.</w:t>
      </w:r>
    </w:p>
    <w:p>
      <w:pPr>
        <w:spacing w:after="0" w:line="17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have a Company-wide policy requiring periodic review of the Estimate at Completion in which management reviews the progress and execution of our performance obligations and estimated remaining obligations. As part of this process, management reviews information including, but not limited to, any outstanding key contract matters, progress towards completion and the related program schedule, identified risks and opportunities and the related changes in estimates of revenue and costs. The risks and opportunities include management's judgment about the ability and cost to achieve the schedule (e.g., the number and type of milestone events), technical requirements (e.g., a newly 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our subcontractors, the availability and timing of funding from our customer, and overhead cost rates, among other variables.</w:t>
      </w:r>
    </w:p>
    <w:p>
      <w:pPr>
        <w:spacing w:after="0" w:line="1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Based on this analysis, any adjustments to revenue, cost of services, and the related impact to operating income are recognized as necessary in the quarter they become known. These adjustments may result from positive program performance if we determine we will be successful in mitigating risks surrounding the technical, schedule and cost aspects of those performance obligations or realizing related opportunities and may result in an increase in operating income during the performance of individual performance obligations. Likewise, if we determine we will not be successful in mitigating these risks or realizing related opportunities, these adjustments may result in a decrease 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operating income. Changes in estimates of revenue, cost of services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our performance obligations. For projects where estimates of total costs to be incurred on a performance obligation exceed total estimates of revenue to be earned, a provision for the entire loss on the performance obligation is recognized in the period the loss is determined.</w:t>
      </w:r>
    </w:p>
    <w:p>
      <w:pPr>
        <w:spacing w:after="0" w:line="17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typically does not incur any returns, refunds, or similar obligations after the completion of the performance obligation since any deficiencies are corrected during the course of the work or are included as a modification to revenue. The Company does offer an industry standard warranty on our work, which is most commonly for a one-year period. The vendors providing the equipment and materials are responsible for any failures in their product unless installed incorrectly. We include an estimated amount to cover estimated warranty expense in our Cost of Services and record a liability on our Balance Sheet to cover our current estimated outstanding warranty obligations.</w:t>
      </w:r>
    </w:p>
    <w:p>
      <w:pPr>
        <w:spacing w:after="0" w:line="174"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Prior to implementing ASC 606 on January 1, 2018, our methods for recognizing revenue were very similar to our current method under ASC 606. We used the actual cost as a percent of total expected cost at completion to estimate our percentage complete on fixed price jobs, a mark-up of costs for jobs where revenue was based on time and materials incurred and elapsed time for those service maintenance contracts where the full cost to provide the services cannot be reasonably estimated. Furthermore, our process for allocating transaction price to performance obligations is also substantially similar to prior years where, in most cases, a contract is one performance obligation. In those cases where a contract is determined to have more than one performance obligation, the contract price is allocated to each performance obligation based on its standalone sales price.</w:t>
      </w:r>
    </w:p>
    <w:p>
      <w:pPr>
        <w:spacing w:after="0" w:line="17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net revenue recognized from our performance obligations satisfied in previous periods was not material.</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1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activity, customer type and contract type, as we believe it best depicts how the nature, amount, timing and uncertainty of our revenue and cash flows are affected by economic factors. Our consolidated 2018 revenue was derived from the following service activities, all of which are in the mechanical services industry, the single industry segment we serve. See details in the following tables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Service Provided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HVAC and Plumbing</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1,976,374</w:t>
            </w: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$ 1,615,468</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1,462,980</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Building Automation Control Systems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95,093</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94,041</w:t>
            </w:r>
          </w:p>
        </w:tc>
        <w:tc>
          <w:tcPr>
            <w:tcW w:w="1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5.3 %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90,461</w:t>
            </w: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2,182,879</w:t>
            </w: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$ 1,787,922</w:t>
            </w: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1,634,340</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353"/>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Type of Customer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596,557</w:t>
            </w: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395,362</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378,499</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391,937</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351,808</w:t>
            </w:r>
          </w:p>
        </w:tc>
        <w:tc>
          <w:tcPr>
            <w:tcW w:w="1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19.7 %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307,195</w:t>
            </w: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202,187</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319,958</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224,643</w:t>
            </w:r>
          </w:p>
        </w:tc>
        <w:tc>
          <w:tcPr>
            <w:tcW w:w="1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197,797</w:t>
            </w: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160,414</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Retail, Restaurants and Entertainment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225,348</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223,593</w:t>
            </w:r>
          </w:p>
        </w:tc>
        <w:tc>
          <w:tcPr>
            <w:tcW w:w="1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12.5 %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196,094</w:t>
            </w: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 and Residential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122,766</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80,956</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86,225</w:t>
            </w:r>
          </w:p>
        </w:tc>
        <w:tc>
          <w:tcPr>
            <w:tcW w:w="1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69,388</w:t>
            </w: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7"/>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$ 1,787,922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878"/>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20"/>
          </w:cols>
          <w:pgMar w:left="1420" w:top="121" w:right="125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Activity Type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6"/>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Construction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829,978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684,687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653,488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Existing Building Construction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796,946</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580,737</w:t>
            </w:r>
          </w:p>
        </w:tc>
        <w:tc>
          <w:tcPr>
            <w:tcW w:w="1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32.4 %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514,437</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Projects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Service Calls, Maintenance and Monitoring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349,448</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324,795</w:t>
            </w:r>
          </w:p>
        </w:tc>
        <w:tc>
          <w:tcPr>
            <w:tcW w:w="1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18.2 %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287,960</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17"/>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include amounts from work completed in which we have billed or have an unconditional right to bill our customers. The amounts due are stated at their net estimated realizable value. We maintain an allowance for doubtful accounts to provide for the estimated amount of receivables that will not be collected. The allowance is based upon an assessment of customer creditworthiness, historical payment experience, the age of outstanding receivables and collateral to the extent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sales under long term contracts when the cost to cost method of revenue recognition is used and revenue recognized exceeds the amount billed to the customer and right to payment is conditional, subject to completing a milestone, such as a phase of the project. Contract assets are generally classified as current.</w:t>
      </w:r>
    </w:p>
    <w:p>
      <w:pPr>
        <w:spacing w:after="0" w:line="180" w:lineRule="exact"/>
        <w:rPr>
          <w:sz w:val="20"/>
          <w:szCs w:val="20"/>
          <w:color w:val="auto"/>
        </w:rPr>
      </w:pPr>
    </w:p>
    <w:p>
      <w:pPr>
        <w:ind w:right="360" w:firstLine="648"/>
        <w:spacing w:after="0" w:line="256" w:lineRule="auto"/>
        <w:rPr>
          <w:sz w:val="20"/>
          <w:szCs w:val="20"/>
          <w:color w:val="auto"/>
        </w:rPr>
      </w:pPr>
      <w:r>
        <w:rPr>
          <w:rFonts w:ascii="Times New Roman" w:cs="Times New Roman" w:eastAsia="Times New Roman" w:hAnsi="Times New Roman"/>
          <w:sz w:val="18"/>
          <w:szCs w:val="18"/>
          <w:color w:val="auto"/>
        </w:rPr>
        <w:t>Contract liabilities consist of advance payments and billings in excess of revenue recognized. Our contract assets and liabilities are reported in a net position on a contract by contract basis at the end of each reporting period. We classify advance payments and billings in excess of revenue recognized as current. It is very unusual for us to have advanced payments with a term of greater than one year; therefore, our contract assets are usually all current. If we have advanced payments with a term greater than one year, the noncurrent portion of advanced payments would be included in other long-term liabilities in our consolidated balance sheets.</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table presents the changes in contract assets and contract liabilities (in thousands):</w:t>
      </w:r>
    </w:p>
    <w:p>
      <w:pPr>
        <w:spacing w:after="0" w:line="232"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680"/>
        <w:spacing w:after="0"/>
        <w:rPr>
          <w:sz w:val="20"/>
          <w:szCs w:val="20"/>
          <w:color w:val="auto"/>
        </w:rPr>
      </w:pPr>
      <w:r>
        <w:rPr>
          <w:rFonts w:ascii="Times New Roman" w:cs="Times New Roman" w:eastAsia="Times New Roman" w:hAnsi="Times New Roman"/>
          <w:sz w:val="14"/>
          <w:szCs w:val="14"/>
          <w:b w:val="1"/>
          <w:bCs w:val="1"/>
          <w:color w:val="auto"/>
        </w:rPr>
        <w:t>December 31, 2018</w:t>
      </w:r>
    </w:p>
    <w:tbl>
      <w:tblPr>
        <w:tblLayout w:type="fixed"/>
        <w:tblInd w:w="660" w:type="dxa"/>
        <w:tblCellMar>
          <w:top w:w="0" w:type="dxa"/>
          <w:left w:w="0" w:type="dxa"/>
          <w:bottom w:w="0" w:type="dxa"/>
          <w:right w:w="0" w:type="dxa"/>
        </w:tblCellMar>
      </w:tblPr>
      <w:tr>
        <w:trPr>
          <w:trHeight w:val="117"/>
        </w:trPr>
        <w:tc>
          <w:tcPr>
            <w:tcW w:w="50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Contract</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Contract</w:t>
            </w:r>
          </w:p>
        </w:tc>
      </w:tr>
      <w:tr>
        <w:trPr>
          <w:trHeight w:val="173"/>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5"/>
                <w:szCs w:val="15"/>
                <w:color w:val="auto"/>
              </w:rPr>
            </w:pP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Change due to acquisitions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due to conditional versus unconditional</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Reclassified to unbilled accounts receivable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timing for performance obligation to be satisfied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w:t>
            </w:r>
          </w:p>
        </w:tc>
      </w:tr>
      <w:tr>
        <w:trPr>
          <w:trHeight w:val="21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130,986</w:t>
            </w: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2018 and 2017, we recognized revenue of $97.6 million and $86.6 million related to our contract liabilities at January 1, 2018 and January 1, 2017,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have any impairment losses recognized on our receivables or contract assets in 2018 and 2017.</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Remaining construction performance obligations represent the remaining transaction price of firm orders for which work has not been performed and excludes unexercised contract options. As of December 31, 2018, the aggregate amount of the transaction price allocated to remaining performance obligations was $1.17 billion. The Company expects to recognize revenue on approximately 85% of the remaining performance obligations over the next 12 months, with the remaining recognized thereafter. Our service maintenance agreements are generally one-year renewable agreements.</w:t>
      </w:r>
    </w:p>
    <w:p>
      <w:pPr>
        <w:spacing w:after="0" w:line="4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20"/>
          </w:cols>
          <w:pgMar w:left="1420" w:top="121" w:right="1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adopted the practical expedient that allows us to not include service maintenance contracts less than one year, therefore we do not report unfulfilled performance obligations for service maintenance agreements.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Inventories consist of parts and supplies that we purchase and hold for use in the ordinary course of business and are stated at the lower of cost or net realizable value using the average-cost method.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01" w:lineRule="exact"/>
        <w:rPr>
          <w:sz w:val="20"/>
          <w:szCs w:val="20"/>
          <w:color w:val="auto"/>
        </w:rPr>
      </w:pPr>
    </w:p>
    <w:p>
      <w:pPr>
        <w:ind w:firstLine="648"/>
        <w:spacing w:after="0" w:line="232" w:lineRule="exact"/>
        <w:rPr>
          <w:sz w:val="20"/>
          <w:szCs w:val="20"/>
          <w:color w:val="auto"/>
        </w:rPr>
      </w:pPr>
      <w:r>
        <w:rPr>
          <w:rFonts w:ascii="Times New Roman" w:cs="Times New Roman" w:eastAsia="Times New Roman" w:hAnsi="Times New Roman"/>
          <w:sz w:val="18"/>
          <w:szCs w:val="18"/>
          <w:color w:val="auto"/>
        </w:rPr>
        <w:t>Property and equipment are stated at cost, and depreciation is computed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Leasehold improvements are capitalized and amortized over the lesser of the expected life of the lease or the estimated useful life of the asset.</w:t>
      </w:r>
    </w:p>
    <w:p>
      <w:pPr>
        <w:spacing w:after="0" w:line="20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Expenditures for repairs and maintenance are charged to expense when incurred. Expenditures for major renewals and betterments, which extend the useful lives of existing equipment, are capitalized and depreciated over the remaining useful life of the equipment. Upon retirement or disposition of property and equipment, the cost and related accumulated depreciation are removed from the accounts and any resulting gain or loss is recognized in “Gain on sale of assets” in the statement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Goodwill and Identifiable Intangible Assets</w:t>
      </w:r>
    </w:p>
    <w:p>
      <w:pPr>
        <w:spacing w:after="0" w:line="229" w:lineRule="exact"/>
        <w:rPr>
          <w:sz w:val="20"/>
          <w:szCs w:val="20"/>
          <w:color w:val="auto"/>
        </w:rPr>
      </w:pPr>
    </w:p>
    <w:p>
      <w:pPr>
        <w:ind w:right="480" w:firstLine="648"/>
        <w:spacing w:after="0" w:line="313" w:lineRule="auto"/>
        <w:rPr>
          <w:sz w:val="20"/>
          <w:szCs w:val="20"/>
          <w:color w:val="auto"/>
        </w:rPr>
      </w:pPr>
      <w:r>
        <w:rPr>
          <w:rFonts w:ascii="Times New Roman" w:cs="Times New Roman" w:eastAsia="Times New Roman" w:hAnsi="Times New Roman"/>
          <w:sz w:val="17"/>
          <w:szCs w:val="17"/>
          <w:color w:val="auto"/>
        </w:rPr>
        <w:t>Goodwill is the excess of purchase price over the fair value of the net assets of acquired businesses. We assess goodwill for impairment each year, and more frequently if circumstances suggest an impairment may have occurred.</w:t>
      </w:r>
    </w:p>
    <w:p>
      <w:pPr>
        <w:spacing w:after="0" w:line="138" w:lineRule="exact"/>
        <w:rPr>
          <w:sz w:val="20"/>
          <w:szCs w:val="20"/>
          <w:color w:val="auto"/>
        </w:rPr>
      </w:pPr>
    </w:p>
    <w:p>
      <w:pPr>
        <w:jc w:val="both"/>
        <w:ind w:right="140" w:firstLine="648"/>
        <w:spacing w:after="0" w:line="270" w:lineRule="auto"/>
        <w:rPr>
          <w:sz w:val="20"/>
          <w:szCs w:val="20"/>
          <w:color w:val="auto"/>
        </w:rPr>
      </w:pPr>
      <w:r>
        <w:rPr>
          <w:rFonts w:ascii="Times New Roman" w:cs="Times New Roman" w:eastAsia="Times New Roman" w:hAnsi="Times New Roman"/>
          <w:sz w:val="17"/>
          <w:szCs w:val="17"/>
          <w:color w:val="auto"/>
        </w:rPr>
        <w:t>When the carrying value of a given reporting unit exceeds its fair value, a goodwill impairment loss is recorded for this difference, not to exceed the carrying amount of goodwill. If other reporting units have had increases in fair value, such increases may not be recorded. Accordingly, such increases may not be netted against impairments at other reporting units.</w:t>
      </w:r>
    </w:p>
    <w:p>
      <w:pPr>
        <w:spacing w:after="0" w:line="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The requirements for assessing whether goodwill has been impaired involve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information. This information, and its use in assessing goodwill, entails some degree of subjective assessment.</w:t>
      </w:r>
    </w:p>
    <w:p>
      <w:pPr>
        <w:spacing w:after="0" w:line="19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perform our annual impairment testing as of October 1 and any impairment charges resulting from this process are reported in the fourth quarter. We segregate our operations into reporting units based on the degree of operating and financial independence of each unit and our related management of them. We perform our annual goodwill impairment testing at the reporting unit level. Each of our operating units represents an operating segment, and our operating segments are our reporting units.</w:t>
      </w:r>
    </w:p>
    <w:p>
      <w:pPr>
        <w:spacing w:after="0" w:line="18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the evaluation of goodwill for impairment, we have the option to first assess qualitative factors to determine whether the existence of events or circumstances lead to a determination that it is more likely than not that the fair value of one of our reporting units is greater than its carrying value. If, after completing such assessment, we determine it is more likely than not that the fair value of a reporting unit is greater than its carrying amount, then there is no need to perform any further testing. If we conclude otherwise, then we calculate the fair value of the reporting unit and compare the fair value with the carrying value of the reporting unit.</w:t>
      </w:r>
    </w:p>
    <w:p>
      <w:pPr>
        <w:spacing w:after="0" w:line="188"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We estimate the fair value of the reporting unit based on a market approach and an income approach, which utilizes discounted future cash flows. Assumptions critical to the fair value estimates under the discounted cash flow model include discount rates, cash flow projections, projected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rates and the determination of terminal values. The market approach utilizes market multiples of invested capital from comparable publicly traded companies (“public company approach”). The market multiples from invested capital include revenue, book equity plus debt and earnings before interest, provision for income taxes, depreciation and amortization (“EBITDA”).</w:t>
      </w:r>
    </w:p>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amortize identifiable intangible assets with finite lives over their useful lives. Changes in strategy and/or market condition may result in adjustments to recorded intangible asset balances.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-51435</wp:posOffset>
            </wp:positionV>
            <wp:extent cx="6413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right="20" w:firstLine="648"/>
        <w:spacing w:after="0" w:line="228"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are comprised principally of goodwill, identifiable intangible assets, property and equipment, and deferred tax assets. We periodically evaluate whether events and circumstances have occurred that indicate that the remaining balances of these assets may not be recoverable. We use estimates of future income from operations and cash flows, as well as other economic and business factors, to assess the recoverability of these assets.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recognize assets acquired and liabilities assumed in business combinations, including contingent assets and liabilities, based on fair value estimates as of the date of acquisition.</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—In certain acquisitions, we agree to pay additional amounts to sellers contingent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by the acquired businesses of certain predetermined profitability targets. We have recognized liabilities for these contingent obligations based on their estimated fair value at the date of acquisition with any differences between the acquisition date fair value and the ultimate settlement of the obligations being recognized in income from operations.</w:t>
      </w:r>
    </w:p>
    <w:p>
      <w:pPr>
        <w:spacing w:after="0" w:line="18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Contingent Assets and Liabilities</w:t>
      </w:r>
      <w:r>
        <w:rPr>
          <w:rFonts w:ascii="Times New Roman" w:cs="Times New Roman" w:eastAsia="Times New Roman" w:hAnsi="Times New Roman"/>
          <w:sz w:val="18"/>
          <w:szCs w:val="18"/>
          <w:color w:val="auto"/>
        </w:rPr>
        <w:t>—Assets and liabilities arising from contingencies are recognized at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date fair value when their respective fair values can be determined. If the fair values of such contingencies cannot be determined, they are recognized at the acquisition date if the contingencies are probable and an amount can be reasonably estimated. Acquisition date fair value estimates are revised as necessary if, and when, additional information regarding these contingencies becomes available to further define and quantify assets acquired and liabilities assumed.</w:t>
      </w:r>
    </w:p>
    <w:p>
      <w:pPr>
        <w:spacing w:after="0" w:line="153"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Self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Insurance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-51435</wp:posOffset>
            </wp:positionV>
            <wp:extent cx="6413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right="60" w:firstLine="648"/>
        <w:spacing w:after="0" w:line="226" w:lineRule="exact"/>
        <w:rPr>
          <w:sz w:val="20"/>
          <w:szCs w:val="20"/>
          <w:color w:val="auto"/>
        </w:rPr>
      </w:pPr>
      <w:r>
        <w:rPr>
          <w:rFonts w:ascii="Times New Roman" w:cs="Times New Roman" w:eastAsia="Times New Roman" w:hAnsi="Times New Roman"/>
          <w:sz w:val="18"/>
          <w:szCs w:val="18"/>
          <w:color w:val="auto"/>
        </w:rPr>
        <w:t>We are substantially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insured for workers’ compensation, employer’s liability, auto liability, general liability and employee group health claims, in view of the relatively high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incident deductibles we absorb under our insurance arrangements for these risks. Losses are estimated and accrued based upon known facts, historical trends and industry averages. Estimated losses in excess of our deductible, which have not already been paid, are included in our accrual with a corresponding receivable from our insurance carrier. Loss estimates associated with the larger and longer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developing risks— workers’ compensation, auto liability and general liability—are reviewed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actuary quarterly. Our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arrangements are further discussed in Note 11 “Commitments and Contingencies.”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typically warrant labor for the first year after installation on new HVAC systems. We generally warrant labor for thirty days after servicing of existing HVAC systems. A reserve for warranty costs is estimated and recorded based upon the historical level of warranty claims and management’s estimate of future costs.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conduct business throughout the United States in virtually all fifty states. Our effective tax rate changes based upon our relative profitability, or lack thereof, in states with varying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tax reserves for uncertain tax positions, accounting for losses associated with underperforming operations and noncontrolling interests.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provided for under the liability method, which takes into account differences between financial statement treatment and tax treatment of certain transactions. Deferred taxes are based on the difference between the financial reporting and tax basis of assets and liabilities. The deferred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more-likely-than-not some portion or all of the deferred tax assets will not be realized.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regularly evaluate valuation allowances established for deferred tax assets for which future realization is uncertain. We perform this evaluation quarterly. In assessing the realizability of deferred tax assets, we must consider whether it is more-likely-than-not some portion, or all, of the deferred tax assets will not be realized. We consider all available evidence, both positive and negative, in determining whether a valuation allowance is required. Such evidence includes the scheduled reversal of deferred tax liabilities, projected future taxable income, taxable income in prior carryback years and tax planning strategies in making this assessment, and judgment is required in considering the relative weight of negative and positive evidence.</w:t>
      </w:r>
    </w:p>
    <w:p>
      <w:pPr>
        <w:spacing w:after="0" w:line="18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Significant judgment is required in assessing the timing and amounts of deductible and taxable items. We establish reserves when, despite our belief that our tax return positions are supportable, we believe that certain positions may be disallowed. When facts and circumstances change, we adjust these reserves through our provision for income taxes.</w:t>
      </w:r>
    </w:p>
    <w:p>
      <w:pPr>
        <w:spacing w:after="0" w:line="15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To the extent interest and penalties may be assessed by taxing authorities on any underpayment of income tax, such amounts have been accrued and are classified as a component in provision for income taxes in our Consolidated Statements of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Disclosure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activities are within the mechanical services industry, which is the single industry segment we serve. Each operating unit represents an operating segment and these segments have been aggregated, as the operating units meet all of the aggregation criteria.</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provide services in a broad range of geographic regions. Our credit risk primarily consists of receivables from a variety of customers including general contractors, property owners and developers and commercial and industrial companies. We are subject to potential credit risk related to changes in business and economic factors throughout the United States within the nonresidential construction industry. However, we are entitled to payment for work performed and have certain lien rights in that work. Further, we believe that our contract acceptance, billing and collection policies are adequate to manage potential credit risk. We regularly review our accounts receivable and estimate an allowance for uncollectible amounts. We have a diverse customer base, with no single customer accounting for more than 4% of consolidated 2018 revenue.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other receivables, accounts payable, life insurance policies, notes to former owners, capital leases, and a revolving credit facility. We believe that the carrying values of these instruments on the accompanying balance sheets approximate their fair values.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and disclose assets and liabilities carried at fair value in one of the following three categories:</w:t>
      </w:r>
    </w:p>
    <w:p>
      <w:pPr>
        <w:spacing w:after="0" w:line="225" w:lineRule="exact"/>
        <w:rPr>
          <w:sz w:val="20"/>
          <w:szCs w:val="20"/>
          <w:color w:val="auto"/>
        </w:rPr>
      </w:pPr>
    </w:p>
    <w:p>
      <w:pPr>
        <w:ind w:left="980" w:hanging="329"/>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market-based inputs or unobservable inputs that are corroborated by market data; and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3—significant unobservable inputs in which little or no market data exists, therefore requiring an entity to develop its own assumptions.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levels within the fair value hierarchy in which the fair value measurements fall, for assets and liabilities measured on a recurring basis as of December 31, 2018 and 2017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10"/>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2018</w:t>
            </w:r>
          </w:p>
        </w:tc>
      </w:tr>
      <w:tr>
        <w:trPr>
          <w:trHeight w:val="142"/>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Life insurance—cash surrender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earn-out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r>
      <w:tr>
        <w:trPr>
          <w:trHeight w:val="378"/>
        </w:trPr>
        <w:tc>
          <w:tcPr>
            <w:tcW w:w="5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2017</w:t>
            </w:r>
          </w:p>
        </w:tc>
      </w:tr>
      <w:tr>
        <w:trPr>
          <w:trHeight w:val="142"/>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Life insurance—cash surrender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earn-out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r>
    </w:tbl>
    <w:p>
      <w:pPr>
        <w:spacing w:after="0" w:line="169" w:lineRule="exact"/>
        <w:rPr>
          <w:sz w:val="20"/>
          <w:szCs w:val="20"/>
          <w:color w:val="auto"/>
        </w:rPr>
      </w:pPr>
    </w:p>
    <w:p>
      <w:pPr>
        <w:ind w:right="40" w:firstLine="648"/>
        <w:spacing w:after="0" w:line="228" w:lineRule="exact"/>
        <w:rPr>
          <w:sz w:val="20"/>
          <w:szCs w:val="20"/>
          <w:color w:val="auto"/>
        </w:rPr>
      </w:pPr>
      <w:r>
        <w:rPr>
          <w:rFonts w:ascii="Times New Roman" w:cs="Times New Roman" w:eastAsia="Times New Roman" w:hAnsi="Times New Roman"/>
          <w:sz w:val="18"/>
          <w:szCs w:val="18"/>
          <w:color w:val="auto"/>
        </w:rPr>
        <w:t>Cash and cash equivalents consist primarily of highly rated money market funds at a variety of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known institutions with original maturities of three months or less. The original cost of these assets approximates fair value due to their short-term maturity. The carrying value of our borrowings associated with the Revolving Credit Facility approximate its fair value due to the variable rate on such debt.</w:t>
      </w:r>
    </w:p>
    <w:p>
      <w:pPr>
        <w:spacing w:after="0" w:line="19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life insurance policies covering 58 employees with a combined face value of $42.0 million. The policies are invested in several investment vehicles and the fair value measurement of the cash surrender balance associated with these policies is determined using Level 2 inputs within the fair value hierarchy and will vary with investment performance. The cash surrender value of these policies is $3.3 million as of December 31, 2018 and $3.1 million as of December 31, 2017. These assets are included in “Other Noncurrent Assets” in our consolidated balance sheets.</w:t>
      </w:r>
    </w:p>
    <w:p>
      <w:pPr>
        <w:spacing w:after="0" w:line="155" w:lineRule="exact"/>
        <w:rPr>
          <w:sz w:val="20"/>
          <w:szCs w:val="20"/>
          <w:color w:val="auto"/>
        </w:rPr>
      </w:pPr>
    </w:p>
    <w:p>
      <w:pPr>
        <w:ind w:right="40" w:firstLine="648"/>
        <w:spacing w:after="0" w:line="224" w:lineRule="exact"/>
        <w:rPr>
          <w:sz w:val="20"/>
          <w:szCs w:val="20"/>
          <w:color w:val="auto"/>
        </w:rPr>
      </w:pPr>
      <w:r>
        <w:rPr>
          <w:rFonts w:ascii="Times New Roman" w:cs="Times New Roman" w:eastAsia="Times New Roman" w:hAnsi="Times New Roman"/>
          <w:sz w:val="18"/>
          <w:szCs w:val="18"/>
          <w:color w:val="auto"/>
        </w:rPr>
        <w:t>We value contingent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obligations using a probability weighted discounted cash flow method. This fair value measurement is based on significant unobservable inputs in the market and thus represents a Level 3 measurement within the fair value hierarchy. This analysis reflects the contractual terms of the purchase agreements (e.g., minimum and maximum payments, length of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periods, manner of calculating any amounts due, etc.) and utilizes assumptions with regard to future cash flows, probabilities of achieving such future cash flows and a discount rate. The contingent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obligations are measured at fair value each reporting period and changes in estimates of fair value are recognized in earnings.</w:t>
      </w:r>
    </w:p>
    <w:p>
      <w:pPr>
        <w:spacing w:after="0" w:line="172" w:lineRule="exact"/>
        <w:rPr>
          <w:sz w:val="20"/>
          <w:szCs w:val="20"/>
          <w:color w:val="auto"/>
        </w:rPr>
      </w:pPr>
    </w:p>
    <w:p>
      <w:pPr>
        <w:ind w:right="80" w:firstLine="648"/>
        <w:spacing w:after="0" w:line="239" w:lineRule="exact"/>
        <w:rPr>
          <w:sz w:val="20"/>
          <w:szCs w:val="20"/>
          <w:color w:val="auto"/>
        </w:rPr>
      </w:pPr>
      <w:r>
        <w:rPr>
          <w:rFonts w:ascii="Times New Roman" w:cs="Times New Roman" w:eastAsia="Times New Roman" w:hAnsi="Times New Roman"/>
          <w:sz w:val="18"/>
          <w:szCs w:val="18"/>
          <w:color w:val="auto"/>
        </w:rPr>
        <w:t>The table below presents a reconciliation of the fair value of our contingent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obligations that use significant unobservable inputs (Level 3) (in thousands).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Adjustments to fair value</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60" w:type="dxa"/>
            <w:vAlign w:val="bottom"/>
            <w:tcBorders>
              <w:bottom w:val="single" w:sz="8" w:color="CCEEFF"/>
            </w:tcBorders>
          </w:tcPr>
          <w:p>
            <w:pPr>
              <w:spacing w:after="0"/>
              <w:rPr>
                <w:sz w:val="18"/>
                <w:szCs w:val="18"/>
                <w:color w:val="auto"/>
              </w:rPr>
            </w:pPr>
          </w:p>
        </w:tc>
      </w:tr>
      <w:tr>
        <w:trPr>
          <w:trHeight w:val="21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measure certain assets at fair value on a nonrecurring basis. These assets are recognized at fair value when they are deemed to be other-than-temporarily impaired. No goodwill or other intangible asset impairments were recorded during the year ended December 31, 2018. During the year ended December 31, 2017, we recorded a goodwill impairment charge of $1.1 million based on Level 3 measurements. We did not recognize any other impairments on those assets required to be measured at fair value on a nonrecurring basis. See Note 5 “Goodwill and Identifiable Intangible Assets, Net” for further discussion.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completed two acquisitions in the third quarter of 2018, three acquisitions in the second quarter of 2018 and two acquisitions in the first quarter of 2018, with a total preliminary purchase price of $95.6 million for the year ended December 31, 2018. One acquisition completed in the third quarter of 2018 reports as a separate operating location and the remainder were “tucked-in” with existing operations. Our consolidated balance sheet includes preliminary allocations of the purchase price to the assets acquired and liabilities assumed pending the completion of the final valuation of intangible assets and accrued liabilities.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the second quarter of 2017, we acquired all of the issued and outstanding stock of BCH Holdings, Inc. and each of its wholly-owned subsidiaries (collectively “BCH”) for $121.3 million of which $97.0 million was allocated to goodwill and identifiable intangible assets. The total purchase price included $95.4 million in cash, $14.3 million in notes payable to former owners and an $11.6 million contingent earn-out obligation. BCH is an integrated, single-source provider of mechanical service, maintenance and construction with headquarters in Tampa, Florida and operations throughout the southeastern region of the United States, which reports as a separate operating location. In addition to the BCH acquisition, we completed four additional acquisitions in 2017. The total purchase price for these additional acquisitions, including earn-outs, was $9.4 million.</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completed two acquisitions in the first quarter of 2016. We acquired the remaining 40% noncontrolling interest in Environmental Air Systems, LLC (“EAS”) on January 1, 2016 for $46.6 million, including $42.0 million funded on the closing date plus a holdback, an earn-out that will be earned if certain financial targets are met after the acquisition date and a working capital adjustment. Due to our majority ownership and control over EAS on the acquisition date, the difference between the purchase price and the noncontrolling interest liability was recorded in Additional Paid-In Capital in our Balance Sheet.</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Additionally, in the first quarter of 2016, we acquired 100% of the ShoffnerKalthoff family of companies (collectively, “Shoffner”), which reports as a separate operating location in the Knoxville, Tennessee area. The acquisition date fair value of consideration transferred for this acquisition was $19.8 million, of which $14.8 million was allocated to goodwill and identifiable intangible assets. The purchase price included $15.5 million funded on the closing date plus a note payable to former owners, an earn-out that we will pay if certain financial targets are met after the acquisition date and a working capital adjustment. In addition to the EAS and Shoffner acquisitions, we completed one additional acquisition in 2016. The total purchase price for this additional acquisition, including earn-outs, was $0.1 million.</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results of operations of acquisitions are included in our consolidated financial statements from their respective acquisition dates. The acquisitions completed in the current and prior year were not material, individually or in the aggregate. Additional contingent purchase price (“earn-out”) has been or will be paid if certain acquisitions achieve predetermined profitability targets. Such earn-outs, when they are not subject to the continued employment of the sellers, are estimated as of the purchase date and included as part of the consideration paid for the acquisition. If we have an earn-out where continued employment is a condition to receive payment, then the earn-out is recorded as compensation expense over the period earned.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5180" w:hanging="657"/>
        <w:spacing w:after="0" w:line="503" w:lineRule="auto"/>
        <w:tabs>
          <w:tab w:leader="none" w:pos="19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Identifiable Intangible Assets, Net </w:t>
      </w:r>
      <w:r>
        <w:rPr>
          <w:rFonts w:ascii="Times New Roman" w:cs="Times New Roman" w:eastAsia="Times New Roman" w:hAnsi="Times New Roman"/>
          <w:sz w:val="18"/>
          <w:szCs w:val="18"/>
          <w:b w:val="1"/>
          <w:bCs w:val="1"/>
          <w:i w:val="1"/>
          <w:iCs w:val="1"/>
          <w:color w:val="auto"/>
        </w:rPr>
        <w:t>Goodwill</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are as follows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$ 149,208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Additions (See Note 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34,598</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52,481</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adjustment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60" w:type="dxa"/>
            <w:vAlign w:val="bottom"/>
            <w:shd w:val="clear" w:color="auto" w:fill="CCEEFF"/>
          </w:tcPr>
          <w:p>
            <w:pPr>
              <w:spacing w:after="0"/>
              <w:rPr>
                <w:sz w:val="18"/>
                <w:szCs w:val="18"/>
                <w:color w:val="auto"/>
              </w:rPr>
            </w:pPr>
          </w:p>
        </w:tc>
      </w:tr>
      <w:tr>
        <w:trPr>
          <w:trHeight w:val="21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235,182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$ 200,584</w:t>
            </w:r>
          </w:p>
        </w:tc>
        <w:tc>
          <w:tcPr>
            <w:tcW w:w="60" w:type="dxa"/>
            <w:vAlign w:val="bottom"/>
          </w:tcPr>
          <w:p>
            <w:pPr>
              <w:spacing w:after="0"/>
              <w:rPr>
                <w:sz w:val="18"/>
                <w:szCs w:val="18"/>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perform our annual impairment testing on October 1, or more frequently, if events and circumstances indicate impairment may have occurred. As discussed in Note 2, “Summary of Significant Accounting Policies,” we have the option to first perform a qualitative assessment to determine whether it is more likely than not that the fair value of the reporting unit is less than the carrying value.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our annual impairment testing on October 1, we performed a qualitative assessment for each reporting unit, which considered various factors, including changes in the carrying value of the reporting unit, forecasted operating results, long-term growth rates and discount rates. Additionally, we considered qualitative key events and circumstances (i.e. macroeconomic environment, industry and market specific conditions, cost factors and events specific to the reporting unit, etc.). Based on this assessment, we concluded that it was more likely than not that the fair value of each of the reporting units was greater than its carrying value. Accordingly, no further testing was required.</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recorded a goodwill impairment charge of $1.1 million during the first quarter of 2017. Based on changes to our market strategy that occurred in March 2017 related to our reporting unit based in California, we reevaluated our projected future earnings for this operating location and determined that we could no longer support the related goodwill balance and therefore the goodwill associated with this location was fully impaired. The fair value was estimated using a discounted cash flow model. The annual impairment test did not identify any additional impairment for 2017.</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2016, we performed a quantitative assessment where the fair value of each reporting unit was estimated using a discounted cash flow model combined with a market valuation approach. We assigned a weighting of 50% to the discounted cash flow analysis and 50% to the public company approach for the year ended December 31, 2016. Based on this assessment, we concluded that the fair value of each of the reporting units was greater than its carrying value. As of October 1, 2016, the fair value exceeded the carrying value by a significant margin for all of our reporting units with a goodwill balance.</w:t>
      </w:r>
    </w:p>
    <w:p>
      <w:pPr>
        <w:spacing w:after="0" w:line="188"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There are significant inherent uncertainties and management judgment involved in estimating the fair value of each reporting unit. While we believe we have made reasonable estimates and assumptions to estimate the fair value of our reporting units, it is possible that a material change could occur. If actual results are not consistent with our current estimates and assumptions, or the current economic outlook worsens, goodwill impairment charges may be recorded in future periods.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Identifiable intangible assets consist of the following (dollars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2018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2017</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Book</w:t>
            </w:r>
          </w:p>
        </w:tc>
        <w:tc>
          <w:tcPr>
            <w:tcW w:w="11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Book</w:t>
            </w:r>
          </w:p>
        </w:tc>
        <w:tc>
          <w:tcPr>
            <w:tcW w:w="10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Lives</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60" w:type="dxa"/>
            <w:vAlign w:val="bottom"/>
          </w:tcPr>
          <w:p>
            <w:pPr>
              <w:spacing w:after="0"/>
              <w:rPr>
                <w:sz w:val="15"/>
                <w:szCs w:val="15"/>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1 - 15</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$128,480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2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rPr>
              <w:t>1 - 2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2220" w:type="dxa"/>
            <w:vAlign w:val="bottom"/>
            <w:gridSpan w:val="2"/>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2 - 25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(12,709)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(11,305)</w:t>
            </w:r>
          </w:p>
        </w:tc>
        <w:tc>
          <w:tcPr>
            <w:tcW w:w="0" w:type="dxa"/>
            <w:vAlign w:val="bottom"/>
          </w:tcPr>
          <w:p>
            <w:pPr>
              <w:spacing w:after="0"/>
              <w:rPr>
                <w:sz w:val="1"/>
                <w:szCs w:val="1"/>
                <w:color w:val="auto"/>
              </w:rPr>
            </w:pPr>
          </w:p>
        </w:tc>
      </w:tr>
      <w:tr>
        <w:trPr>
          <w:trHeight w:val="21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176,975</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139,884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3060" w:type="dxa"/>
            <w:vAlign w:val="bottom"/>
          </w:tcPr>
          <w:p>
            <w:pPr>
              <w:spacing w:after="0"/>
              <w:rPr>
                <w:sz w:val="24"/>
                <w:szCs w:val="24"/>
                <w:color w:val="auto"/>
              </w:rPr>
            </w:pPr>
          </w:p>
        </w:tc>
        <w:tc>
          <w:tcPr>
            <w:tcW w:w="2220" w:type="dxa"/>
            <w:vAlign w:val="bottom"/>
            <w:gridSpan w:val="2"/>
          </w:tcPr>
          <w:p>
            <w:pPr>
              <w:jc w:val="right"/>
              <w:ind w:right="584"/>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The amounts attributable to customer relationships, noncompete agreements and tradenames are amortized to “Selling, General and Administrative Expenses” on a pattern of economic benefit or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periods from one to twenty-five years. The amounts attributable to backlog are being amortized to “Cost of Services” on a proportionate method over the remaining backlog period. Amortization expense for the years ended December 31, 2018, 2017 and 2016 was $20.1 million, $17.4 million and $8.2 million, respectively.</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2018, future amortization expense of identifiable intangible assets is as follows (in thousands):</w:t>
      </w: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31,680</w:t>
            </w:r>
          </w:p>
        </w:tc>
        <w:tc>
          <w:tcPr>
            <w:tcW w:w="60" w:type="dxa"/>
            <w:vAlign w:val="bottom"/>
            <w:shd w:val="clear" w:color="auto" w:fill="CCEEFF"/>
          </w:tcPr>
          <w:p>
            <w:pPr>
              <w:spacing w:after="0"/>
              <w:rPr>
                <w:sz w:val="18"/>
                <w:szCs w:val="18"/>
                <w:color w:val="auto"/>
              </w:rPr>
            </w:pPr>
          </w:p>
        </w:tc>
      </w:tr>
      <w:tr>
        <w:trPr>
          <w:trHeight w:val="217"/>
        </w:trPr>
        <w:tc>
          <w:tcPr>
            <w:tcW w:w="6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95,275</w:t>
            </w:r>
          </w:p>
        </w:tc>
        <w:tc>
          <w:tcPr>
            <w:tcW w:w="60" w:type="dxa"/>
            <w:vAlign w:val="bottom"/>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(dollars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6"/>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Years</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1 - 7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telephone equipment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including capital lease amortization, for the years ended December 31, 2018, 2017 and 2016 was $22.6 million, $20.1 million and $18.0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Detail of Certain Balance Sheet Accounts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in our allowance for doubtful accounts consists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r>
      <w:tr>
        <w:trPr>
          <w:trHeight w:val="156"/>
        </w:trPr>
        <w:tc>
          <w:tcPr>
            <w:tcW w:w="9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740" w:type="dxa"/>
            <w:vAlign w:val="bottom"/>
            <w:gridSpan w:val="2"/>
          </w:tcPr>
          <w:p>
            <w:pPr>
              <w:jc w:val="right"/>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Pr>
          <w:p>
            <w:pPr>
              <w:spacing w:after="0"/>
              <w:rPr>
                <w:sz w:val="13"/>
                <w:szCs w:val="13"/>
                <w:color w:val="auto"/>
              </w:rPr>
            </w:pPr>
          </w:p>
        </w:tc>
      </w:tr>
      <w:tr>
        <w:trPr>
          <w:trHeight w:val="210"/>
        </w:trPr>
        <w:tc>
          <w:tcPr>
            <w:tcW w:w="9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$ 5,158</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(benefit)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tcPr>
          <w:p>
            <w:pPr>
              <w:spacing w:after="0"/>
              <w:rPr>
                <w:sz w:val="18"/>
                <w:szCs w:val="18"/>
                <w:color w:val="auto"/>
              </w:rPr>
            </w:pPr>
          </w:p>
        </w:tc>
      </w:tr>
      <w:tr>
        <w:trPr>
          <w:trHeight w:val="198"/>
        </w:trPr>
        <w:tc>
          <w:tcPr>
            <w:tcW w:w="9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Deductions for uncollectible receivables written off, net of</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900" w:type="dxa"/>
            <w:vAlign w:val="bottom"/>
          </w:tcPr>
          <w:p>
            <w:pPr>
              <w:spacing w:after="0"/>
              <w:rPr>
                <w:sz w:val="20"/>
                <w:szCs w:val="20"/>
                <w:color w:val="auto"/>
              </w:rPr>
            </w:pPr>
          </w:p>
        </w:tc>
      </w:tr>
      <w:tr>
        <w:trPr>
          <w:trHeight w:val="198"/>
        </w:trPr>
        <w:tc>
          <w:tcPr>
            <w:tcW w:w="9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Allowance for doubtful accounts of acquired companies at date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tcPr>
          <w:p>
            <w:pPr>
              <w:spacing w:after="0"/>
              <w:rPr>
                <w:sz w:val="20"/>
                <w:szCs w:val="20"/>
                <w:color w:val="auto"/>
              </w:rPr>
            </w:pPr>
          </w:p>
        </w:tc>
      </w:tr>
      <w:tr>
        <w:trPr>
          <w:trHeight w:val="230"/>
        </w:trPr>
        <w:tc>
          <w:tcPr>
            <w:tcW w:w="920" w:type="dxa"/>
            <w:vAlign w:val="bottom"/>
          </w:tcPr>
          <w:p>
            <w:pPr>
              <w:spacing w:after="0"/>
              <w:rPr>
                <w:sz w:val="19"/>
                <w:szCs w:val="19"/>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$ 4,288</w:t>
            </w:r>
          </w:p>
        </w:tc>
        <w:tc>
          <w:tcPr>
            <w:tcW w:w="900" w:type="dxa"/>
            <w:vAlign w:val="bottom"/>
          </w:tcPr>
          <w:p>
            <w:pPr>
              <w:spacing w:after="0"/>
              <w:rPr>
                <w:sz w:val="19"/>
                <w:szCs w:val="19"/>
                <w:color w:val="auto"/>
              </w:rPr>
            </w:pPr>
          </w:p>
        </w:tc>
      </w:tr>
      <w:tr>
        <w:trPr>
          <w:trHeight w:val="649"/>
        </w:trPr>
        <w:tc>
          <w:tcPr>
            <w:tcW w:w="57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4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current liabilities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9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costs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Accrued job losses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due to former owners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80" w:type="dxa"/>
            <w:vAlign w:val="bottom"/>
            <w:tcBorders>
              <w:bottom w:val="single" w:sz="8" w:color="CCEEFF"/>
            </w:tcBorders>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44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44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Debt Obligations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3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Debt obligations consist of the following (in thousands):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9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gridSpan w:val="3"/>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Notes to former owners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76,918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60,539</w:t>
            </w: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Less—current portion</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long-term portion of debt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73,639</w:t>
            </w:r>
          </w:p>
        </w:tc>
        <w:tc>
          <w:tcPr>
            <w:tcW w:w="14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59,926</w:t>
            </w:r>
          </w:p>
        </w:tc>
        <w:tc>
          <w:tcPr>
            <w:tcW w:w="80" w:type="dxa"/>
            <w:vAlign w:val="bottom"/>
          </w:tcPr>
          <w:p>
            <w:pPr>
              <w:spacing w:after="0"/>
              <w:rPr>
                <w:sz w:val="18"/>
                <w:szCs w:val="18"/>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2018, future principal payments of debt are as follows (in thousands):</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76,918</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433"/>
        </w:trPr>
        <w:tc>
          <w:tcPr>
            <w:tcW w:w="534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w w:val="99"/>
              </w:rPr>
              <w:t>Interest expense included the following primary elements (in thousands):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11"/>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260" w:type="dxa"/>
            <w:vAlign w:val="bottom"/>
          </w:tcPr>
          <w:p>
            <w:pPr>
              <w:spacing w:after="0"/>
              <w:rPr>
                <w:sz w:val="13"/>
                <w:szCs w:val="13"/>
                <w:color w:val="auto"/>
              </w:rPr>
            </w:pPr>
          </w:p>
        </w:tc>
        <w:tc>
          <w:tcPr>
            <w:tcW w:w="49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210"/>
        </w:trPr>
        <w:tc>
          <w:tcPr>
            <w:tcW w:w="26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notes to former owners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borrowings and unused commitment fees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 of credit fees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7"/>
        </w:trPr>
        <w:tc>
          <w:tcPr>
            <w:tcW w:w="26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right="19" w:firstLine="648"/>
        <w:spacing w:after="0" w:line="254" w:lineRule="auto"/>
        <w:rPr>
          <w:sz w:val="20"/>
          <w:szCs w:val="20"/>
          <w:color w:val="auto"/>
        </w:rPr>
      </w:pPr>
      <w:r>
        <w:rPr>
          <w:rFonts w:ascii="Times New Roman" w:cs="Times New Roman" w:eastAsia="Times New Roman" w:hAnsi="Times New Roman"/>
          <w:sz w:val="18"/>
          <w:szCs w:val="18"/>
          <w:color w:val="auto"/>
        </w:rPr>
        <w:t>On April 18, 2018, we amended our senior credit facility (the “Facility”) provided by a syndicate of banks, increasing our borrowing capacity from $325.0 million to $400.0 million, with a $100 million accordion option. The Facility, which is available for borrowings and letters of credit, expires in April 2023 and is secured by a first lien on substantially all of our personal property except for assets related to projects subject to surety bonds and assets held by certain unrestricted subsidiaries and a second lien on our assets related to projects subject to surety bonds. In 2018, we incurred approximately $0.8 million in financing and professional costs in connection with an amendment to the Facility, which combined with the previous unamortized costs of $1.1 million, are being amortized on a straight-line basis as a non-cash charge to interest expense over the remaining term of the Facility. As of December 31, 2018, we had $50.0 million of outstanding borrowings, $33.6 million in letters of credit outstanding and $316.4 million of credit available.</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Collateral</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common practice in our industry is the posting of payment and performance bonds with customers. These bonds are offered by financial institutions known as sureties and provide assurance to the customer that in the event we encounter significant financial or operational difficulties, the surety will arrange for the completion of our contractual obligations and for the payment of our vendors on the projects subject to the bonds. In cooperation with our lenders, we granted our sureties a first lien on assets such as receivables, costs and estimated earnings in excess of billings, and equipment specifically identifiable to projects for which bonds are outstanding, as collateral for potential obligations under bonds. As of December 31, 2018, the book value of these assets was approximately $48.9 million.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Covenants and Restrictions</w:t>
      </w:r>
    </w:p>
    <w:p>
      <w:pPr>
        <w:spacing w:after="0" w:line="227"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The Facility contains financial covenants defining various financial measures and the levels of these measures with which we must comply. Covenant compliance is assessed as of each quarter end. Credit Facility Adjusted EBITDA is defined under the Facility for financial covenant purposes as net earnings for the four quarters ending as of any given quarterly covenant compliance measurement date, plus the corresponding amounts for (a) interest expense; (b) provision for income taxes; (c) depreciation and amortization; (d) stock compensation; (e)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and (f)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acquisition results of acquired companies. The following is a reconciliation of Credit Facility Adjusted EBITDA to net income for 2018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$ 112,903</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42,689</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Pre-acquisition results of acquired companies, as defined under the Facility</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8"/>
                <w:szCs w:val="18"/>
                <w:color w:val="auto"/>
              </w:rPr>
            </w:pPr>
          </w:p>
        </w:tc>
      </w:tr>
      <w:tr>
        <w:trPr>
          <w:trHeight w:val="217"/>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Adjusted EBITDA</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$ 205,934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Facility’s principal financial covenants include:</w:t>
      </w:r>
    </w:p>
    <w:p>
      <w:pPr>
        <w:spacing w:after="0" w:line="223" w:lineRule="exact"/>
        <w:rPr>
          <w:sz w:val="20"/>
          <w:szCs w:val="20"/>
          <w:color w:val="auto"/>
        </w:rPr>
      </w:pPr>
    </w:p>
    <w:p>
      <w:pPr>
        <w:ind w:left="660"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Total Leverage Ratio—</w:t>
      </w:r>
      <w:r>
        <w:rPr>
          <w:rFonts w:ascii="Times New Roman" w:cs="Times New Roman" w:eastAsia="Times New Roman" w:hAnsi="Times New Roman"/>
          <w:sz w:val="18"/>
          <w:szCs w:val="18"/>
          <w:color w:val="auto"/>
        </w:rPr>
        <w:t>The Facility requires that the ratio of our Consolidated Total Indebtedness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Adjusted EBITDA not exceed 3.00 to 1.00 as of the end of each fiscal quarter. The leverage ratio as of December 31, 2018 was 0.4.</w:t>
      </w:r>
    </w:p>
    <w:p>
      <w:pPr>
        <w:spacing w:after="0" w:line="174" w:lineRule="exact"/>
        <w:rPr>
          <w:sz w:val="20"/>
          <w:szCs w:val="20"/>
          <w:color w:val="auto"/>
        </w:rPr>
      </w:pPr>
    </w:p>
    <w:p>
      <w:pPr>
        <w:ind w:left="660" w:firstLine="648"/>
        <w:spacing w:after="0" w:line="270" w:lineRule="auto"/>
        <w:rPr>
          <w:sz w:val="20"/>
          <w:szCs w:val="20"/>
          <w:color w:val="auto"/>
        </w:rPr>
      </w:pPr>
      <w:r>
        <w:rPr>
          <w:rFonts w:ascii="Times New Roman" w:cs="Times New Roman" w:eastAsia="Times New Roman" w:hAnsi="Times New Roman"/>
          <w:sz w:val="17"/>
          <w:szCs w:val="17"/>
          <w:i w:val="1"/>
          <w:iCs w:val="1"/>
          <w:color w:val="auto"/>
        </w:rPr>
        <w:t>Fixed Charge Coverage Ratio—</w:t>
      </w:r>
      <w:r>
        <w:rPr>
          <w:rFonts w:ascii="Times New Roman" w:cs="Times New Roman" w:eastAsia="Times New Roman" w:hAnsi="Times New Roman"/>
          <w:sz w:val="17"/>
          <w:szCs w:val="17"/>
          <w:color w:val="auto"/>
        </w:rPr>
        <w:t>The Facility requires that the ratio of (a) Credit Facility Adjusted EBITDA,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less non-financed capital expenditures, provision for income taxes, dividends and amounts used to repurchase stock to (b) the sum of interest expense and scheduled principal payments of indebtedness be at least 2.00 to 1.00; provided that the calculation of the fixed charge coverage ratio excludes stock repurchases and the payment of dividends at any time that the Company’s Net Leverage Ratio, as defined in the credit agreement, does not exceed</w:t>
      </w:r>
    </w:p>
    <w:p>
      <w:pPr>
        <w:spacing w:after="0" w:line="1"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18"/>
          <w:szCs w:val="18"/>
          <w:color w:val="auto"/>
        </w:rPr>
        <w:t>1.75 to 1.00. The Facility also allows the fixed charge coverage ratio not to be reduced for stock repurchases made after the effective date of the Facility in an aggregate amount not to exceed $30 million, if at the time of and after giving effect to such repurchase the Company’s Net Leverage Ratio was less than or equal to 1.75 to 1.00. Credit Facility Adjusted EBITDA, capital expenditures, provision for income taxes, dividends, stock repurchase payments, interest expense, and scheduled principal payments are defined under the Facility for purposes of this covenant to be amounts for the four quarters ending as of any given quarterly covenant compliance measurement date. The fixed charge coverage ratio as of December 31, 2018 was 21.9.</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Other Restrictions—</w:t>
      </w:r>
      <w:r>
        <w:rPr>
          <w:rFonts w:ascii="Times New Roman" w:cs="Times New Roman" w:eastAsia="Times New Roman" w:hAnsi="Times New Roman"/>
          <w:sz w:val="18"/>
          <w:szCs w:val="18"/>
          <w:color w:val="auto"/>
        </w:rPr>
        <w:t>The Facility permits acquisitions of up to $40.0 million per transaction, provided that</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purchase price of such an acquisition and of acquisitions in the same fiscal year does not exceed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$80.0 million. However, these limitations only apply when the Company’s Net Leverage Ratio is equal to or greater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 2.00 to 1.00.</w:t>
      </w:r>
    </w:p>
    <w:p>
      <w:pPr>
        <w:spacing w:after="0" w:line="207" w:lineRule="exact"/>
        <w:rPr>
          <w:sz w:val="20"/>
          <w:szCs w:val="20"/>
          <w:color w:val="auto"/>
        </w:rPr>
      </w:pPr>
    </w:p>
    <w:p>
      <w:pPr>
        <w:ind w:left="660" w:right="200" w:firstLine="648"/>
        <w:spacing w:after="0" w:line="235" w:lineRule="exact"/>
        <w:rPr>
          <w:sz w:val="20"/>
          <w:szCs w:val="20"/>
          <w:color w:val="auto"/>
        </w:rPr>
      </w:pPr>
      <w:r>
        <w:rPr>
          <w:rFonts w:ascii="Times New Roman" w:cs="Times New Roman" w:eastAsia="Times New Roman" w:hAnsi="Times New Roman"/>
          <w:sz w:val="18"/>
          <w:szCs w:val="18"/>
          <w:color w:val="auto"/>
        </w:rPr>
        <w:t>While the Facility’s financial covenants do not specifically govern capacity under the Facility, if our debt level under the Facility at a quarter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covenant compliance measurement date were to cause us to violate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the Facility’s leverage ratio covenant, our borrowing capacity under the Facility and the favorable terms that we currently have could be negatively impacted by the lenders.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were in compliance with all of our financial covenants as of December 31, 2018.</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Rates and Fees</w:t>
      </w:r>
    </w:p>
    <w:p>
      <w:pPr>
        <w:spacing w:after="0" w:line="227" w:lineRule="exact"/>
        <w:rPr>
          <w:sz w:val="20"/>
          <w:szCs w:val="20"/>
          <w:color w:val="auto"/>
        </w:rPr>
      </w:pPr>
    </w:p>
    <w:p>
      <w:pPr>
        <w:ind w:right="60" w:firstLine="648"/>
        <w:spacing w:after="0" w:line="218" w:lineRule="exact"/>
        <w:rPr>
          <w:sz w:val="20"/>
          <w:szCs w:val="20"/>
          <w:color w:val="auto"/>
        </w:rPr>
      </w:pPr>
      <w:r>
        <w:rPr>
          <w:rFonts w:ascii="Times New Roman" w:cs="Times New Roman" w:eastAsia="Times New Roman" w:hAnsi="Times New Roman"/>
          <w:sz w:val="18"/>
          <w:szCs w:val="18"/>
          <w:color w:val="auto"/>
        </w:rPr>
        <w:t>There are two interest rate options for borrowings under the Facility, the Base Rate Loan Option and the Eurodollar Rate Loan Option. Additional margins are then added to these two rates. Under the Base Rate Loan Option, the interest rate is determined based on the highest of the Federal Funds Rate plus 0.5%, the prime lending rate offered by Wells Fargo Bank, N.A. or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Eurodollar Rate plus 1.00%. Under the Eurodollar Rate Loan Option, the interest rate is determined based on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Eurodollar Rate. The Eurodollar Rate corresponds very closely to rates described in various general business media sources as the London Interbank Offered Rate or “LIBOR.” Additional margins are then added to these rates. The additional margins are determined based on the ratio of our Consolidated Total Indebtedness as of a given quarter end to our “Credit Facility Adjusted EBITDA” for the twelve months ending as of that quarter end, as defined in the credit agreement and shown below.</w:t>
      </w:r>
    </w:p>
    <w:p>
      <w:pPr>
        <w:spacing w:after="0" w:line="20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interest rates under the Facility are floating rates determined by the broad financial markets, meaning they can and do move up and down from time to time. For illustrative purposes, the following are the respective market rates as of December 31, 2018 relating to interest options under the Facility:</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Rate Loan Option:</w:t>
            </w:r>
          </w:p>
        </w:tc>
        <w:tc>
          <w:tcPr>
            <w:tcW w:w="26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Rate plus 0.50%</w:t>
            </w:r>
          </w:p>
        </w:tc>
        <w:tc>
          <w:tcPr>
            <w:tcW w:w="2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 Prime Rate</w:t>
            </w:r>
          </w:p>
        </w:tc>
        <w:tc>
          <w:tcPr>
            <w:tcW w:w="2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One-month LIBOR plus 1.00%</w:t>
            </w:r>
          </w:p>
        </w:tc>
        <w:tc>
          <w:tcPr>
            <w:tcW w:w="2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Eurodollar Rate Loan Option:</w:t>
            </w:r>
          </w:p>
        </w:tc>
        <w:tc>
          <w:tcPr>
            <w:tcW w:w="26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One-month LIBOR</w:t>
            </w:r>
          </w:p>
        </w:tc>
        <w:tc>
          <w:tcPr>
            <w:tcW w:w="2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Six-month LIBOR</w:t>
            </w:r>
          </w:p>
        </w:tc>
        <w:tc>
          <w:tcPr>
            <w:tcW w:w="2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2.87%</w:t>
            </w:r>
          </w:p>
        </w:tc>
      </w:tr>
    </w:tbl>
    <w:p>
      <w:pPr>
        <w:spacing w:after="0" w:line="211"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Certain of our vendors require letters of credit to ensure reimbursement for amounts they are disbursing on our behalf, such as to beneficiaries under our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just the same as actual borrowings. We have never had a claim made against a letter of credit that resulted in payments by a lender or by us and believe such claim is unlikely in the foreseeable future.</w:t>
      </w:r>
    </w:p>
    <w:p>
      <w:pPr>
        <w:spacing w:after="0" w:line="20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Commitment fees are payable on the portion of the revolving loan capacity not in use for borrowings or letters of credit at any given time. Letter of credit fees and commitment fees are based on the ratio of Consolidated Total Indebtedness to Credit Facility Adjusted EBITDA, as defined in the credit agreement.</w:t>
      </w:r>
    </w:p>
    <w:p>
      <w:pPr>
        <w:spacing w:after="0" w:line="18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Consolidated Total Indebtedness to</w:t>
      </w:r>
    </w:p>
    <w:p>
      <w:pPr>
        <w:ind w:left="5780"/>
        <w:spacing w:after="0"/>
        <w:rPr>
          <w:sz w:val="20"/>
          <w:szCs w:val="20"/>
          <w:color w:val="auto"/>
        </w:rPr>
      </w:pPr>
      <w:r>
        <w:rPr>
          <w:rFonts w:ascii="Times New Roman" w:cs="Times New Roman" w:eastAsia="Times New Roman" w:hAnsi="Times New Roman"/>
          <w:sz w:val="14"/>
          <w:szCs w:val="14"/>
          <w:b w:val="1"/>
          <w:bCs w:val="1"/>
          <w:color w:val="auto"/>
        </w:rPr>
        <w:t>Credit Facility Adjusted EBITDA</w:t>
      </w:r>
    </w:p>
    <w:tbl>
      <w:tblPr>
        <w:tblLayout w:type="fixed"/>
        <w:tblInd w:w="0" w:type="dxa"/>
        <w:tblCellMar>
          <w:top w:w="0" w:type="dxa"/>
          <w:left w:w="0" w:type="dxa"/>
          <w:bottom w:w="0" w:type="dxa"/>
          <w:right w:w="0" w:type="dxa"/>
        </w:tblCellMar>
      </w:tblPr>
      <w:tr>
        <w:trPr>
          <w:trHeight w:val="142"/>
        </w:trPr>
        <w:tc>
          <w:tcPr>
            <w:tcW w:w="4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1.00</w:t>
            </w:r>
          </w:p>
        </w:tc>
        <w:tc>
          <w:tcPr>
            <w:tcW w:w="96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1.00 to 1.75</w:t>
            </w:r>
          </w:p>
        </w:tc>
        <w:tc>
          <w:tcPr>
            <w:tcW w:w="98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1.75 to 2.50</w:t>
            </w:r>
          </w:p>
        </w:tc>
        <w:tc>
          <w:tcPr>
            <w:tcW w:w="9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2.50 or greater</w:t>
            </w:r>
          </w:p>
        </w:tc>
        <w:tc>
          <w:tcPr>
            <w:tcW w:w="240" w:type="dxa"/>
            <w:vAlign w:val="bottom"/>
          </w:tcPr>
          <w:p>
            <w:pPr>
              <w:spacing w:after="0"/>
              <w:rPr>
                <w:sz w:val="12"/>
                <w:szCs w:val="12"/>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Per Annum Interest Margin Added Under:</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 Rate Loan Option</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0.25 %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0.50 %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0.75 %</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Eurodollar Rate Loan Option</w:t>
            </w:r>
          </w:p>
        </w:tc>
        <w:tc>
          <w:tcPr>
            <w:tcW w:w="1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1.25 %</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1.75 %</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2.00 %</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Letter of credit fees</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1.25 %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1.75 %</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2.00 %</w:t>
            </w: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Commitment fees on any portion of the Revolving Loan</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capacity not in use for borrowings or letters of credit at any</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given time</w:t>
            </w:r>
          </w:p>
        </w:tc>
        <w:tc>
          <w:tcPr>
            <w:tcW w:w="1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0.20 %</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0.25 %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0.30 %</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0.35 %</w:t>
            </w:r>
          </w:p>
        </w:tc>
      </w:tr>
      <w:tr>
        <w:trPr>
          <w:trHeight w:val="662"/>
        </w:trPr>
        <w:tc>
          <w:tcPr>
            <w:tcW w:w="4360" w:type="dxa"/>
            <w:vAlign w:val="bottom"/>
          </w:tcPr>
          <w:p>
            <w:pPr>
              <w:spacing w:after="0"/>
              <w:rPr>
                <w:sz w:val="24"/>
                <w:szCs w:val="24"/>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29"/>
        </w:trPr>
        <w:tc>
          <w:tcPr>
            <w:tcW w:w="4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applicable to the borrowings under the Facility was approximately 3.7% as of December 31, 2018.</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Notes to Former Owners</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As part of the consideration used to acquire six companies, we have outstanding notes to the former owners. These notes had an outstanding balance of $26.8 million as of December 31, 2018. In conjunction with an acquisition in the third quarter of 2018, we issued a promissory note to the former owners with an outstanding balance of $6.5 million as of December 31, 2018 that bears interest, payable quarterly, at a weighted average interest rate of 3.5%. The principal is due in three equal installments in July 2019, 2020 and 2021. In conjunction with a separate acquisition in the third quarter of 2018, we issued a promissory note to former owners with an outstanding balance of $3.5 million as of December 31, 2018 that bears interest, payable quarterly, at a weighted average interest rate of 2.9%. The principal is due in September 2020. In conjunction with a small acquisition in the second quarter of 2018, we issued a subordinated note to former owners with an outstanding balance of $1.0 million as of December 31, 2018 that bears interest, payable quarterly, at a weighted average interest rate of 3.5%. The principal is due in equal installments in May 2020 and 2021. In conjunction with a small acquisition in the first quarter of 2018, we issued a subordinated note to former owners with an outstanding balance of $1.0 million as of December 31, 2018 that bears interest, payable quarterly, at a weighted average interest rate of 2.5%. The principal is due in equal installments in January 2019 and 2020. In conjunction with the BCH acquisition in the second quarter of 2017, we issued a promissory note to former owners with an outstanding balance of $14.3 million as of December 31, 2018 that bears interest, payable quarterly, at a weighted average interest rate of 3.0%. The principal is due in equal installments in April 2020 and 2021. In conjunction with the Shoffner acquisition in the first quarter of 2016, we issued a subordinated note to former owners with an outstanding balance of $0.5 million as of December 31, 2018 that bears interest, payable quarterly, at a weighted average interest rate of 3.0%. The principal is due in February 2019.</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Shoffner acquisition, we acquired debt with an outstanding balance at the acquisition date of $0.4 million with principal and interest due the last day of every month; ending on the December 30, 2019 maturity date. The interest rate is the one month LIBOR rate plus 2.25%. As of December 31, 2018, $0.1 million of the note was outstanding, all of which was considered current.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provision for income taxes relating to continuing operations consists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provision—</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22,728</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32,721</w:t>
            </w: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Puerto Rico</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shd w:val="clear" w:color="auto" w:fill="CCEEFF"/>
          </w:tcPr>
          <w:p>
            <w:pPr>
              <w:spacing w:after="0"/>
              <w:rPr>
                <w:sz w:val="18"/>
                <w:szCs w:val="18"/>
                <w:color w:val="auto"/>
              </w:rPr>
            </w:pPr>
          </w:p>
        </w:tc>
      </w:tr>
      <w:tr>
        <w:trPr>
          <w:trHeight w:val="210"/>
        </w:trPr>
        <w:tc>
          <w:tcPr>
            <w:tcW w:w="3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current</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37,404</w:t>
            </w:r>
          </w:p>
        </w:tc>
        <w:tc>
          <w:tcPr>
            <w:tcW w:w="100" w:type="dxa"/>
            <w:vAlign w:val="bottom"/>
            <w:tcBorders>
              <w:bottom w:val="single" w:sz="8" w:color="CCEEFF"/>
            </w:tcBorders>
          </w:tcPr>
          <w:p>
            <w:pPr>
              <w:spacing w:after="0"/>
              <w:rPr>
                <w:sz w:val="18"/>
                <w:szCs w:val="18"/>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Puerto Rico</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8"/>
                <w:szCs w:val="18"/>
                <w:color w:val="auto"/>
              </w:rPr>
            </w:pPr>
          </w:p>
        </w:tc>
      </w:tr>
      <w:tr>
        <w:trPr>
          <w:trHeight w:val="210"/>
        </w:trPr>
        <w:tc>
          <w:tcPr>
            <w:tcW w:w="3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deferred</w:t>
            </w:r>
          </w:p>
        </w:tc>
        <w:tc>
          <w:tcPr>
            <w:tcW w:w="27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tcPr>
          <w:p>
            <w:pPr>
              <w:spacing w:after="0"/>
              <w:rPr>
                <w:sz w:val="18"/>
                <w:szCs w:val="18"/>
                <w:color w:val="auto"/>
              </w:rPr>
            </w:pPr>
          </w:p>
        </w:tc>
      </w:tr>
      <w:tr>
        <w:trPr>
          <w:trHeight w:val="230"/>
        </w:trPr>
        <w:tc>
          <w:tcPr>
            <w:tcW w:w="34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649"/>
        </w:trPr>
        <w:tc>
          <w:tcPr>
            <w:tcW w:w="3460" w:type="dxa"/>
            <w:vAlign w:val="bottom"/>
          </w:tcPr>
          <w:p>
            <w:pPr>
              <w:spacing w:after="0"/>
              <w:rPr>
                <w:sz w:val="24"/>
                <w:szCs w:val="24"/>
                <w:color w:val="auto"/>
              </w:rPr>
            </w:pPr>
          </w:p>
        </w:tc>
        <w:tc>
          <w:tcPr>
            <w:tcW w:w="27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years ended December 31, 2018, 2017 and 2016 resulted in effective tax rates on continuing operations of 24.1%, 45.2% and 35.8%, respectively. The reasons for the differences between these effective tax rates and the federal statutory rates are as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 of—</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at the federal statutory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$ 35,371</w:t>
            </w:r>
          </w:p>
        </w:tc>
        <w:tc>
          <w:tcPr>
            <w:tcW w:w="18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(decreases) resulting from—</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state income taxes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8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(1,254)</w:t>
            </w: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unrecognized tax benefits</w:t>
            </w:r>
          </w:p>
        </w:tc>
        <w:tc>
          <w:tcPr>
            <w:tcW w:w="16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R&amp;D tax credits</w:t>
            </w:r>
          </w:p>
        </w:tc>
        <w:tc>
          <w:tcPr>
            <w:tcW w:w="16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deductions</w:t>
            </w:r>
          </w:p>
        </w:tc>
        <w:tc>
          <w:tcPr>
            <w:tcW w:w="16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(1,320)</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(2,112)</w:t>
            </w: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tax rate reduction to 21%</w:t>
            </w:r>
          </w:p>
        </w:tc>
        <w:tc>
          <w:tcPr>
            <w:tcW w:w="16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26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r>
      <w:tr>
        <w:trPr>
          <w:trHeight w:val="21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45,666</w:t>
            </w:r>
          </w:p>
        </w:tc>
        <w:tc>
          <w:tcPr>
            <w:tcW w:w="2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$ 36,165</w:t>
            </w:r>
          </w:p>
        </w:tc>
        <w:tc>
          <w:tcPr>
            <w:tcW w:w="180" w:type="dxa"/>
            <w:vAlign w:val="bottom"/>
          </w:tcPr>
          <w:p>
            <w:pPr>
              <w:spacing w:after="0"/>
              <w:rPr>
                <w:sz w:val="18"/>
                <w:szCs w:val="18"/>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2017, we recorded provisional amounts for the impact of the Tax Cuts and Jobs Act. An expense of $9.5 million was recorded in the fourth quarter of 2017 for the remeasurement of our net deferred tax assets based on the rates at which they are expected to reverse in the future (generally 21%). At December 31, 2018, we completed our accounting for the impact of the Tax Cuts and Jobs Act, and no further adjustments were made.</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During 2018, we filed an amended return claiming the credit for increasing research activities (“R&amp;D tax credits”) and recorded a $2.7 million tax benefit that was fully offset by an increase in unrecognized tax benefits. We also dissolved our Puerto Rican subsidiary and thus wrote-off the remaining $2.2 million of net operating loss (“NOL”) carryforwards and related valuation allowance. Neither the R&amp;D tax credits claim nor the dissolution of our Puerto Rican subsidiary had an impact on our 2018 effective tax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Significant components of the deferred tax assets and deferred tax liabilities as reflected on the balance sheets are as follows (in thousands):</w:t>
      </w:r>
    </w:p>
    <w:p>
      <w:pPr>
        <w:spacing w:after="0" w:line="169"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6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360" w:type="dxa"/>
            <w:vAlign w:val="bottom"/>
          </w:tcPr>
          <w:p>
            <w:pPr>
              <w:spacing w:after="0"/>
              <w:rPr>
                <w:sz w:val="12"/>
                <w:szCs w:val="12"/>
                <w:color w:val="auto"/>
              </w:rPr>
            </w:pPr>
          </w:p>
        </w:tc>
      </w:tr>
      <w:tr>
        <w:trPr>
          <w:trHeight w:val="210"/>
        </w:trPr>
        <w:tc>
          <w:tcPr>
            <w:tcW w:w="13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and allowance for doubtful accounts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2,297</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19,555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6,007</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2,272</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544</w:t>
            </w:r>
          </w:p>
        </w:tc>
        <w:tc>
          <w:tcPr>
            <w:tcW w:w="136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31,390</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Valuation allowances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36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4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27,890</w:t>
            </w:r>
          </w:p>
        </w:tc>
        <w:tc>
          <w:tcPr>
            <w:tcW w:w="136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contracts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36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4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3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20,703</w:t>
            </w:r>
          </w:p>
        </w:tc>
        <w:tc>
          <w:tcPr>
            <w:tcW w:w="1360" w:type="dxa"/>
            <w:vAlign w:val="bottom"/>
          </w:tcPr>
          <w:p>
            <w:pPr>
              <w:spacing w:after="0"/>
              <w:rPr>
                <w:sz w:val="19"/>
                <w:szCs w:val="19"/>
                <w:color w:val="auto"/>
              </w:rPr>
            </w:pPr>
          </w:p>
        </w:tc>
      </w:tr>
      <w:tr>
        <w:trPr>
          <w:trHeight w:val="649"/>
        </w:trPr>
        <w:tc>
          <w:tcPr>
            <w:tcW w:w="586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9"/>
        </w:trPr>
        <w:tc>
          <w:tcPr>
            <w:tcW w:w="1380" w:type="dxa"/>
            <w:vAlign w:val="bottom"/>
            <w:tcBorders>
              <w:bottom w:val="single" w:sz="8" w:color="auto"/>
            </w:tcBorders>
          </w:tcPr>
          <w:p>
            <w:pPr>
              <w:spacing w:after="0"/>
              <w:rPr>
                <w:sz w:val="11"/>
                <w:szCs w:val="11"/>
                <w:color w:val="auto"/>
              </w:rPr>
            </w:pPr>
          </w:p>
        </w:tc>
        <w:tc>
          <w:tcPr>
            <w:tcW w:w="4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deferred tax assets and liabilities reflected above are included in the consolidated balance sheets as follows (in thousands):</w:t>
      </w:r>
    </w:p>
    <w:p>
      <w:pPr>
        <w:spacing w:after="0" w:line="169" w:lineRule="exact"/>
        <w:rPr>
          <w:sz w:val="20"/>
          <w:szCs w:val="20"/>
          <w:color w:val="auto"/>
        </w:rPr>
      </w:pPr>
    </w:p>
    <w:p>
      <w:pPr>
        <w:jc w:val="center"/>
        <w:ind w:left="23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7620</wp:posOffset>
            </wp:positionV>
            <wp:extent cx="10033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512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p>
    <w:tbl>
      <w:tblPr>
        <w:tblLayout w:type="fixed"/>
        <w:tblInd w:w="2520" w:type="dxa"/>
        <w:tblCellMar>
          <w:top w:w="0" w:type="dxa"/>
          <w:left w:w="0" w:type="dxa"/>
          <w:bottom w:w="0" w:type="dxa"/>
          <w:right w:w="0" w:type="dxa"/>
        </w:tblCellMar>
      </w:tblPr>
      <w:tr>
        <w:trPr>
          <w:trHeight w:val="20"/>
        </w:trPr>
        <w:tc>
          <w:tcPr>
            <w:tcW w:w="20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190"/>
        </w:trPr>
        <w:tc>
          <w:tcPr>
            <w:tcW w:w="20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17,634</w:t>
            </w:r>
          </w:p>
        </w:tc>
        <w:tc>
          <w:tcPr>
            <w:tcW w:w="2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22,966</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2,263</w:t>
            </w:r>
          </w:p>
        </w:tc>
      </w:tr>
    </w:tbl>
    <w:p>
      <w:pPr>
        <w:spacing w:after="0" w:line="19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2018, we had $3.2 million of future tax benefits related to $55.5 million of available state NOL carryforwards, which expire in varying amounts between the years 2021 and 2038. Valuation allowances of $0.6 million have been recorded against certain of the state NOL carryforwards. The $2.6 million deferred tax asset for state NOL carryforwards, net of valuation allowances, reflects our conclusion that it is more-likely-than-not these assets will be realized based upon expected future earnings in certain subsidiaries.</w:t>
      </w:r>
    </w:p>
    <w:p>
      <w:pPr>
        <w:spacing w:after="0" w:line="18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update our assessment of the realizability of deferred tax assets relating to state NOL carryforwards annually. A return to profitability in our subsidiaries with valuation allowances would result in a release of a portion of the valuation allowance relating to realizable deferred tax assets. A sustained period of profitability could cause a change in our judgment of any remaining deferred tax assets. If that were to occur, then it is likely that we would reverse some or all of the remaining valuation allowances.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Liabilities for Uncertain Tax Positions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excluding accrued interest and penalties, is as follows (in thousands):</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1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3"/>
                <w:szCs w:val="13"/>
                <w:color w:val="auto"/>
              </w:rPr>
            </w:pPr>
          </w:p>
        </w:tc>
        <w:tc>
          <w:tcPr>
            <w:tcW w:w="48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settlements with tax authorities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$ 240</w:t>
            </w:r>
          </w:p>
        </w:tc>
        <w:tc>
          <w:tcPr>
            <w:tcW w:w="60" w:type="dxa"/>
            <w:vAlign w:val="bottom"/>
          </w:tcPr>
          <w:p>
            <w:pPr>
              <w:spacing w:after="0"/>
              <w:rPr>
                <w:sz w:val="18"/>
                <w:szCs w:val="18"/>
                <w:color w:val="auto"/>
              </w:rPr>
            </w:pPr>
          </w:p>
        </w:tc>
      </w:tr>
    </w:tbl>
    <w:p>
      <w:pPr>
        <w:spacing w:after="0" w:line="19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2018, 2017 and 2016, we had $3.0 million, $8.9 million and $0.2 million, respectively, of unrecognized tax benefits, which if recognized in future periods, would impact our effective tax rate. We also had accrued $0.6 million, $0.7 million and $0.4 million for potential interest and penalties related to the unrecognized tax benefits as of December 31, 2018, 2017 and 2016, respectively. We recognize potential interest and penalties related to unrecognized tax benefits in our provision for income taxes.</w:t>
      </w:r>
    </w:p>
    <w:p>
      <w:pPr>
        <w:spacing w:after="0" w:line="18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believe it is reasonably possible that a decrease of up to $3.0 million in unrecognized tax benefits could occur within the next twelve months. Any decrease in our unrecognized tax benefits, due to the future recognition of those tax benefits, would affect our effective tax rate.</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 jurisdictions. In the fourth quarter of 2017, we received a ‘no change letter’ from the Internal Revenue Service upon completion of its examination of the 2015 tax year. We remain open to examination by various state tax authorities for the 2010 tax year forward. As of December 31, 2018, we did not have any state audits underway that would have a material impact on our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201" w:lineRule="exact"/>
        <w:rPr>
          <w:sz w:val="20"/>
          <w:szCs w:val="20"/>
          <w:color w:val="auto"/>
        </w:rPr>
      </w:pPr>
    </w:p>
    <w:p>
      <w:pPr>
        <w:ind w:right="80" w:firstLine="648"/>
        <w:spacing w:after="0" w:line="232" w:lineRule="exact"/>
        <w:rPr>
          <w:sz w:val="20"/>
          <w:szCs w:val="20"/>
          <w:color w:val="auto"/>
        </w:rPr>
      </w:pPr>
      <w:r>
        <w:rPr>
          <w:rFonts w:ascii="Times New Roman" w:cs="Times New Roman" w:eastAsia="Times New Roman" w:hAnsi="Times New Roman"/>
          <w:sz w:val="18"/>
          <w:szCs w:val="18"/>
          <w:color w:val="auto"/>
        </w:rPr>
        <w:t>We and certain of our subsidiaries sponsor various retirement plans for most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and some part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These plans primarily consist of defined contribution plans. The defined contribution plans generally provide for contributions up to 2.5% of covered employees’ salaries or wages. These contributions totaled $10.8 million in 2018,</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$7.8 million in 2017 and $7.8 million in 2016. Of these amounts, approximately $0.2 million and $0.5 million were payable to the plans at December 31, 2018 and 2017, respectively.</w:t>
      </w:r>
    </w:p>
    <w:p>
      <w:pPr>
        <w:spacing w:after="0" w:line="133" w:lineRule="exact"/>
        <w:rPr>
          <w:sz w:val="20"/>
          <w:szCs w:val="20"/>
          <w:color w:val="auto"/>
        </w:rPr>
      </w:pPr>
    </w:p>
    <w:p>
      <w:pPr>
        <w:ind w:right="200" w:firstLine="648"/>
        <w:spacing w:after="0" w:line="224" w:lineRule="exact"/>
        <w:rPr>
          <w:sz w:val="20"/>
          <w:szCs w:val="20"/>
          <w:color w:val="auto"/>
        </w:rPr>
      </w:pPr>
      <w:r>
        <w:rPr>
          <w:rFonts w:ascii="Times New Roman" w:cs="Times New Roman" w:eastAsia="Times New Roman" w:hAnsi="Times New Roman"/>
          <w:sz w:val="18"/>
          <w:szCs w:val="18"/>
          <w:color w:val="auto"/>
        </w:rPr>
        <w:t>Certain of our subsidiaries also participate or have participated in various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pension plans for the benefit of employees who are union members. As of December 31, 2018 and 2017, we had 6 and 6, respectively, who were union members. There were no contributions made to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pension plans in 2018, 2017 or 2016. The data available from administrators of other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pension plans is not sufficient to determine the accumulated benefit obligations, nor the net assets attributable to the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plans in which our employees participate or previously participated.</w:t>
      </w:r>
    </w:p>
    <w:p>
      <w:pPr>
        <w:spacing w:after="0" w:line="201" w:lineRule="exact"/>
        <w:rPr>
          <w:sz w:val="20"/>
          <w:szCs w:val="20"/>
          <w:color w:val="auto"/>
        </w:rPr>
      </w:pPr>
    </w:p>
    <w:p>
      <w:pPr>
        <w:jc w:val="both"/>
        <w:ind w:right="40" w:firstLine="648"/>
        <w:spacing w:after="0" w:line="223" w:lineRule="exact"/>
        <w:rPr>
          <w:sz w:val="20"/>
          <w:szCs w:val="20"/>
          <w:color w:val="auto"/>
        </w:rPr>
      </w:pPr>
      <w:r>
        <w:rPr>
          <w:rFonts w:ascii="Times New Roman" w:cs="Times New Roman" w:eastAsia="Times New Roman" w:hAnsi="Times New Roman"/>
          <w:sz w:val="17"/>
          <w:szCs w:val="17"/>
          <w:color w:val="auto"/>
        </w:rPr>
        <w:t>Certain individuals at one of our operating units are entitled to receive fixed annual payments that reach a maximum amount, as specified in the related agreements, for a 15 year period following retirement or, in some cases, the attainment of 65 years of age. We recognize the unfunded status of the plan as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 liability in our Consolidated Balance Sheet.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vest 50% after ten years of service, 75% after fifteen years of service and are fully vested after 20 years of service.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an unfunded benefit liability of $4.3 million and $4.0 million recorded as of December 31, 2018 and 2017.</w:t>
      </w:r>
    </w:p>
    <w:p>
      <w:pPr>
        <w:spacing w:after="0" w:line="203" w:lineRule="exact"/>
        <w:rPr>
          <w:sz w:val="20"/>
          <w:szCs w:val="20"/>
          <w:color w:val="auto"/>
        </w:rPr>
      </w:pPr>
    </w:p>
    <w:p>
      <w:pPr>
        <w:ind w:left="660" w:right="6240" w:hanging="657"/>
        <w:spacing w:after="0" w:line="503" w:lineRule="auto"/>
        <w:tabs>
          <w:tab w:leader="none" w:pos="27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spacing w:after="0" w:line="1" w:lineRule="exact"/>
        <w:rPr>
          <w:sz w:val="20"/>
          <w:szCs w:val="20"/>
          <w:color w:val="auto"/>
        </w:rPr>
      </w:pPr>
    </w:p>
    <w:p>
      <w:pPr>
        <w:ind w:right="100" w:firstLine="648"/>
        <w:spacing w:after="0" w:line="219" w:lineRule="exact"/>
        <w:rPr>
          <w:sz w:val="20"/>
          <w:szCs w:val="20"/>
          <w:color w:val="auto"/>
        </w:rPr>
      </w:pPr>
      <w:r>
        <w:rPr>
          <w:rFonts w:ascii="Times New Roman" w:cs="Times New Roman" w:eastAsia="Times New Roman" w:hAnsi="Times New Roman"/>
          <w:sz w:val="18"/>
          <w:szCs w:val="18"/>
          <w:color w:val="auto"/>
        </w:rPr>
        <w:t>We lease certain facilities and equipment under noncancelable operating leases. Rent expense for the years ended December 31, 2018, 2017 and 2016 was $23.4 million, $21.1 million, and $20.6 million, respectively. We recognize escalating rental payments that are quantifiable at the inception of the lease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 Concurrent with the acquisitions of certain companies, we entered into various agreements with previous owners to lease buildings used in our operations. The terms of these leases generally range from three to ten years and certain leases provide for escalations in the rental expenses each year, the majority of which are based on inflation. Included in the 2018, 2017 and 2016 rent expense above are approximately $4.8 million, $4.8 million and $5.1 million of rent paid to these related parties, respectively.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future minimum rental payments under noncancelable operating leases (in thousands):</w:t>
      </w: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$ 13,503</w:t>
            </w:r>
          </w:p>
        </w:tc>
        <w:tc>
          <w:tcPr>
            <w:tcW w:w="60" w:type="dxa"/>
            <w:vAlign w:val="bottom"/>
          </w:tcPr>
          <w:p>
            <w:pPr>
              <w:spacing w:after="0"/>
              <w:rPr>
                <w:sz w:val="18"/>
                <w:szCs w:val="18"/>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60" w:type="dxa"/>
            <w:vAlign w:val="bottom"/>
          </w:tcPr>
          <w:p>
            <w:pPr>
              <w:spacing w:after="0"/>
              <w:rPr>
                <w:sz w:val="18"/>
                <w:szCs w:val="18"/>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60" w:type="dxa"/>
            <w:vAlign w:val="bottom"/>
          </w:tcPr>
          <w:p>
            <w:pPr>
              <w:spacing w:after="0"/>
              <w:rPr>
                <w:sz w:val="18"/>
                <w:szCs w:val="18"/>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60" w:type="dxa"/>
            <w:vAlign w:val="bottom"/>
            <w:shd w:val="clear" w:color="auto" w:fill="CCEEFF"/>
          </w:tcPr>
          <w:p>
            <w:pPr>
              <w:spacing w:after="0"/>
              <w:rPr>
                <w:sz w:val="18"/>
                <w:szCs w:val="18"/>
                <w:color w:val="auto"/>
              </w:rPr>
            </w:pPr>
          </w:p>
        </w:tc>
      </w:tr>
      <w:tr>
        <w:trPr>
          <w:trHeight w:val="217"/>
        </w:trPr>
        <w:tc>
          <w:tcPr>
            <w:tcW w:w="6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$ 76,157</w:t>
            </w:r>
          </w:p>
        </w:tc>
        <w:tc>
          <w:tcPr>
            <w:tcW w:w="60" w:type="dxa"/>
            <w:vAlign w:val="bottom"/>
          </w:tcPr>
          <w:p>
            <w:pPr>
              <w:spacing w:after="0"/>
              <w:rPr>
                <w:sz w:val="18"/>
                <w:szCs w:val="18"/>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Claims and Lawsuits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the accompanying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April 2018, we entered into settlement agreements with British Petroleum (“BP”) related to two claims from one of our subsidiaries regarding the April 2010 BP Deepwater Horizon oil spill. We recorded a gain of $4.0 million in the second quarter of 2018 in “Other Income” as a result of these settlements. In the fourth quarter of 2017, we entered into settlement agreements with BP related to two claims from another one of our subsidiaries. We recorded a $1.0 million gain in the fourth quarter of 2017 in “Other Income” as a result of these settlements. Additionally, in the fourth quarter of 2016, we entered into a separate settlement agreement with BP related to a claim from another one of our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subsidiaries and recorded a $0.6 million gain in the fourth quarter of 2016 in “Other Income”. We do not have any remaining subsidiaries with outstanding claims against BP related to this matter.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Surety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surety for any expenses or outlays it incurs. To date, we are not aware of any losses to our sureties in connection with bonds the sureties have posted on our behalf, and do not expect such losses to be incurred in the foreseeable future.</w:t>
      </w:r>
    </w:p>
    <w:p>
      <w:pPr>
        <w:spacing w:after="0" w:line="18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Surety market conditions have seen some strengthening as the commercial construction markets have started to rebound. Bonding capacity remains adequate in the current market conditions along with acceptable terms and conditions. Historically, approximately 20% to 30% of our business has required bonds. While we currently have strong surety relationships to support our bonding needs, future market conditions or changes in the sureties’ assessment of our operating and financial risk could cause the sureties to decline to issue bonds for our work. If that were to occur, the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58"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Self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-51435</wp:posOffset>
            </wp:positionV>
            <wp:extent cx="6413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right="40" w:firstLine="648"/>
        <w:spacing w:after="0" w:line="227" w:lineRule="exact"/>
        <w:rPr>
          <w:sz w:val="20"/>
          <w:szCs w:val="20"/>
          <w:color w:val="auto"/>
        </w:rPr>
      </w:pPr>
      <w:r>
        <w:rPr>
          <w:rFonts w:ascii="Times New Roman" w:cs="Times New Roman" w:eastAsia="Times New Roman" w:hAnsi="Times New Roman"/>
          <w:sz w:val="18"/>
          <w:szCs w:val="18"/>
          <w:color w:val="auto"/>
        </w:rPr>
        <w:t>We are substantially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insured for workers’ compensation, employer’s liability, auto liability, general liability and employee group health claims, in view of the relatively high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incident deductibles we absorb under our insurance arrangements for these risks. Losses are estimated and accrued based upon known facts, historical trends and industry averages. Estimated losses in excess of our deductible, which have not already been paid, are included in our accrual with a corresponding receivable from our insurance carrier. Loss estimates associated with the larger and longer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developing risks, such as workers’ compensation, auto liability and general liability, are reviewed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actuary quarterly.</w:t>
      </w:r>
    </w:p>
    <w:p>
      <w:pPr>
        <w:spacing w:after="0" w:line="152"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Our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arrangements as of December 31, 2018 were as follows:</w:t>
      </w:r>
    </w:p>
    <w:p>
      <w:pPr>
        <w:spacing w:after="0" w:line="225" w:lineRule="exact"/>
        <w:rPr>
          <w:sz w:val="20"/>
          <w:szCs w:val="20"/>
          <w:color w:val="auto"/>
        </w:rPr>
      </w:pPr>
    </w:p>
    <w:p>
      <w:pPr>
        <w:ind w:left="660" w:right="200" w:firstLine="648"/>
        <w:spacing w:after="0" w:line="232" w:lineRule="exact"/>
        <w:rPr>
          <w:sz w:val="20"/>
          <w:szCs w:val="20"/>
          <w:color w:val="auto"/>
        </w:rPr>
      </w:pPr>
      <w:r>
        <w:rPr>
          <w:rFonts w:ascii="Times New Roman" w:cs="Times New Roman" w:eastAsia="Times New Roman" w:hAnsi="Times New Roman"/>
          <w:sz w:val="18"/>
          <w:szCs w:val="18"/>
          <w:i w:val="1"/>
          <w:iCs w:val="1"/>
          <w:color w:val="auto"/>
        </w:rPr>
        <w:t>Workers’ Compensation—</w:t>
      </w:r>
      <w:r>
        <w:rPr>
          <w:rFonts w:ascii="Times New Roman" w:cs="Times New Roman" w:eastAsia="Times New Roman" w:hAnsi="Times New Roman"/>
          <w:sz w:val="18"/>
          <w:szCs w:val="18"/>
          <w:color w:val="auto"/>
        </w:rPr>
        <w:t>The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incident deductible for workers’ compensation is $1.0 million.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$1.0 million are determined by statutory rules on a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state basis and are fully covered by excess workers’ compensation insurance.</w:t>
      </w:r>
    </w:p>
    <w:p>
      <w:pPr>
        <w:spacing w:after="0" w:line="198" w:lineRule="exact"/>
        <w:rPr>
          <w:sz w:val="20"/>
          <w:szCs w:val="20"/>
          <w:color w:val="auto"/>
        </w:rPr>
      </w:pPr>
    </w:p>
    <w:p>
      <w:pPr>
        <w:ind w:left="660"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Employer’s Liability—</w:t>
      </w:r>
      <w:r>
        <w:rPr>
          <w:rFonts w:ascii="Times New Roman" w:cs="Times New Roman" w:eastAsia="Times New Roman" w:hAnsi="Times New Roman"/>
          <w:sz w:val="18"/>
          <w:szCs w:val="18"/>
          <w:color w:val="auto"/>
        </w:rPr>
        <w:t>For employer’s liability, the per-incident deductible is $1.0 million and then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layers of excess loss insurance policies that cover losses up to $100.0 million in aggregate across this risk area (as well as general liability and auto liability noted below).</w:t>
      </w:r>
    </w:p>
    <w:p>
      <w:pPr>
        <w:spacing w:after="0" w:line="174"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 Liability—</w:t>
      </w:r>
      <w:r>
        <w:rPr>
          <w:rFonts w:ascii="Times New Roman" w:cs="Times New Roman" w:eastAsia="Times New Roman" w:hAnsi="Times New Roman"/>
          <w:sz w:val="18"/>
          <w:szCs w:val="18"/>
          <w:color w:val="auto"/>
        </w:rPr>
        <w:t>For general liability, the per-incident deductible is $1.0 million. We are fully insured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$1.0 million of each loss, and then have several layers of excess loss insurance policies that cover losses up to $100.0 million in aggregate across this risk area (as well as employer’s liability noted above and auto liability noted below).</w:t>
      </w:r>
    </w:p>
    <w:p>
      <w:pPr>
        <w:spacing w:after="0" w:line="180" w:lineRule="exact"/>
        <w:rPr>
          <w:sz w:val="20"/>
          <w:szCs w:val="20"/>
          <w:color w:val="auto"/>
        </w:rPr>
      </w:pPr>
    </w:p>
    <w:p>
      <w:pPr>
        <w:jc w:val="both"/>
        <w:ind w:left="660" w:right="12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Auto Liability—</w:t>
      </w:r>
      <w:r>
        <w:rPr>
          <w:rFonts w:ascii="Times New Roman" w:cs="Times New Roman" w:eastAsia="Times New Roman" w:hAnsi="Times New Roman"/>
          <w:sz w:val="17"/>
          <w:szCs w:val="17"/>
          <w:color w:val="auto"/>
        </w:rPr>
        <w:t>For auto liability, the per-incident deductible is $0.5 million. We are fully insured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next $1.5 million of each loss, and then have several layers of excess loss insurance policies that cover losses up to $100.0 million in aggregate across this risk area (as well as employer’s liability and general liability noted above).</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Employee Medical—</w:t>
      </w:r>
      <w:r>
        <w:rPr>
          <w:rFonts w:ascii="Times New Roman" w:cs="Times New Roman" w:eastAsia="Times New Roman" w:hAnsi="Times New Roman"/>
          <w:sz w:val="18"/>
          <w:szCs w:val="18"/>
          <w:color w:val="auto"/>
        </w:rPr>
        <w:t>We have three medical plans. The deductible for employee group health claims is</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$350,000 per person, per policy (calendar) year for each plan. Insurance then covers any responsibility for medical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claims in excess of the deductible amount.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1" w:lineRule="exact"/>
        <w:rPr>
          <w:sz w:val="20"/>
          <w:szCs w:val="20"/>
          <w:color w:val="auto"/>
        </w:rPr>
      </w:pPr>
    </w:p>
    <w:p>
      <w:pPr>
        <w:jc w:val="both"/>
        <w:ind w:left="660" w:right="60" w:firstLine="648"/>
        <w:spacing w:after="0" w:line="232" w:lineRule="exact"/>
        <w:rPr>
          <w:sz w:val="20"/>
          <w:szCs w:val="20"/>
          <w:color w:val="auto"/>
        </w:rPr>
      </w:pPr>
      <w:r>
        <w:rPr>
          <w:rFonts w:ascii="Times New Roman" w:cs="Times New Roman" w:eastAsia="Times New Roman" w:hAnsi="Times New Roman"/>
          <w:sz w:val="18"/>
          <w:szCs w:val="18"/>
          <w:color w:val="auto"/>
        </w:rPr>
        <w:t>Our $100.0 million of aggregate excess loss coverage above applicable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incident deductibles represents one policy limit that applies to all lines of risk; we do not have a separate $100.0 million of excess loss coverage for each of general liability, employer’s liability and auto liability.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2012 Equity Incentive Plan</w:t>
      </w:r>
    </w:p>
    <w:p>
      <w:pPr>
        <w:spacing w:after="0" w:line="229"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In May 2012, our stockholders approved our 2012 Equity Incentive Plan (the “2012 Plan”), which provides for the granting of incentive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stock options, stock appreciation rights, restricted or deferred stock, dividend equivalents or other incentive awards to directors, employees, or consultants. The number of shares authorized and reserved for issuance under the 2012 Plan is 5.1 million shares. As of December 31, 2018, there were 2.9 million shares available for issuance under this plan; however, following adoption of the 2017 Plan (described below), no additional shares will be issued under the 2012 Plan. The 2012 Plan will expire in May 2022.</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2017 Omnibus Incentive Plan</w:t>
      </w:r>
    </w:p>
    <w:p>
      <w:pPr>
        <w:spacing w:after="0" w:line="229" w:lineRule="exact"/>
        <w:rPr>
          <w:sz w:val="20"/>
          <w:szCs w:val="20"/>
          <w:color w:val="auto"/>
        </w:rPr>
      </w:pPr>
    </w:p>
    <w:p>
      <w:pPr>
        <w:ind w:right="140" w:firstLine="648"/>
        <w:spacing w:after="0" w:line="220" w:lineRule="exact"/>
        <w:rPr>
          <w:sz w:val="20"/>
          <w:szCs w:val="20"/>
          <w:color w:val="auto"/>
        </w:rPr>
      </w:pPr>
      <w:r>
        <w:rPr>
          <w:rFonts w:ascii="Times New Roman" w:cs="Times New Roman" w:eastAsia="Times New Roman" w:hAnsi="Times New Roman"/>
          <w:sz w:val="17"/>
          <w:szCs w:val="17"/>
          <w:color w:val="auto"/>
        </w:rPr>
        <w:t>In May 2017, our stockholders approved our 2017 Omnibus Incentive Plan (the “2017 Plan”), which provides for the granting of incentive 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qualified stock options, stock appreciation rights, restricted or deferred stock, dividend equivalents or other incentive awards to directors, employees, or consultants. The number of shares authorized and reserved for issuance under the 2017 Plan is 2.9 million shares. As of December 31, 2018, there were 2.6 million shares available for issuance under this plan. The 2017 Plan will expire in May 2027. Additionally, we have outstanding stock options, stock awards and stock units that were issued under other plans, and no further grants may be made under those plans.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29, 2007, our Board of Directors (the “Board”) approved a stock repurchase program to acquire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shares of our outstanding common stock. Subsequently, the Board has from time to time increased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that may be acquired under the program and approved extensions of the program. Since the inception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the Board has approved 8.8 million shares to be repurchased. As of December 31, 2018, we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a cumulative total of 8.2 million shares at an average price of $16.24 per share under the repurchase program.</w:t>
      </w:r>
    </w:p>
    <w:p>
      <w:pPr>
        <w:spacing w:after="0" w:line="207"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twelve months ended December 31, 2018, we repurchased 0.6 million shares for approximately $28.5 million at an average price of $48.13 per share.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outstanding during the year. Diluted EPS is computed considering the dilutive effect of stock options, restricted stock, restricted stock units and performance stock units. The vesting of unvested contingently issuable performance stock units is based on the achievement of certain earnings per share targets and total shareholder return. These shares are considered contingently issuable shares for purposes of calculating diluted earnings per share. These shares are not included in the diluted earnings per share denominator until the performance criteria are met, if it is assumed that the end of the reporting period was the end of the contingency period.</w:t>
      </w:r>
    </w:p>
    <w:p>
      <w:pPr>
        <w:spacing w:after="0" w:line="18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Unvested restricted stock, restricted stock units and performance stock units are included in diluted earnings per share, weighted outstanding until the shares and units vest. Upon vesting, the vested restricted stock, restricted stock units and performance stock units are included in basic earnings per share weighted outstanding from the vesting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less than 0.1 million anti-dilutive stock options excluded from the calculation of diluted EPS for the year ended December 31, 2018 and 2017, respectively. There were approximately 0.1 million anti-dilutive stock options excluded from the calculation of diluted EPS for the year ended December 31, 2016.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number of shares outstanding with the number of shares used in computing basic and diluted earnings per share for each of the periods presented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23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7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37,209</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share—basic</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37,335</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Effect of shares issuable under stock option plans based on the treasury stock method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restricted and contingently issuable shares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8"/>
                <w:szCs w:val="18"/>
                <w:color w:val="auto"/>
              </w:rPr>
            </w:pPr>
          </w:p>
        </w:tc>
      </w:tr>
      <w:tr>
        <w:trPr>
          <w:trHeight w:val="21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share—diluted</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37,592</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37,672</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37,811</w:t>
            </w:r>
          </w:p>
        </w:tc>
        <w:tc>
          <w:tcPr>
            <w:tcW w:w="120" w:type="dxa"/>
            <w:vAlign w:val="bottom"/>
          </w:tcPr>
          <w:p>
            <w:pPr>
              <w:spacing w:after="0"/>
              <w:rPr>
                <w:sz w:val="18"/>
                <w:szCs w:val="18"/>
                <w:color w:val="auto"/>
              </w:rPr>
            </w:pPr>
          </w:p>
        </w:tc>
      </w:tr>
    </w:tbl>
    <w:p>
      <w:pPr>
        <w:spacing w:after="0" w:line="19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13. 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54" w:lineRule="exact"/>
        <w:rPr>
          <w:sz w:val="20"/>
          <w:szCs w:val="20"/>
          <w:color w:val="auto"/>
        </w:rPr>
      </w:pPr>
    </w:p>
    <w:p>
      <w:pPr>
        <w:jc w:val="both"/>
        <w:ind w:right="40" w:firstLine="648"/>
        <w:spacing w:after="0" w:line="223" w:lineRule="exact"/>
        <w:rPr>
          <w:sz w:val="20"/>
          <w:szCs w:val="20"/>
          <w:color w:val="auto"/>
        </w:rPr>
      </w:pPr>
      <w:r>
        <w:rPr>
          <w:rFonts w:ascii="Times New Roman" w:cs="Times New Roman" w:eastAsia="Times New Roman" w:hAnsi="Times New Roman"/>
          <w:sz w:val="18"/>
          <w:szCs w:val="18"/>
          <w:color w:val="auto"/>
        </w:rPr>
        <w:t>Grants of stock options, restricted stock and restricted stock units, and performance share units have been, under the 2012 Plan, and under the 2017 Omnibus Incentive Plan (the “2017 Plan”), determined and administered by the compensation committee of the Board of Directors. 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was $7.2 million, $6.4 million and</w:t>
      </w:r>
    </w:p>
    <w:p>
      <w:pPr>
        <w:spacing w:after="0" w:line="1" w:lineRule="exact"/>
        <w:rPr>
          <w:sz w:val="20"/>
          <w:szCs w:val="20"/>
          <w:color w:val="auto"/>
        </w:rPr>
      </w:pPr>
    </w:p>
    <w:p>
      <w:pPr>
        <w:ind w:right="360"/>
        <w:spacing w:after="0" w:line="216" w:lineRule="exact"/>
        <w:rPr>
          <w:sz w:val="20"/>
          <w:szCs w:val="20"/>
          <w:color w:val="auto"/>
        </w:rPr>
      </w:pPr>
      <w:r>
        <w:rPr>
          <w:rFonts w:ascii="Times New Roman" w:cs="Times New Roman" w:eastAsia="Times New Roman" w:hAnsi="Times New Roman"/>
          <w:sz w:val="18"/>
          <w:szCs w:val="18"/>
          <w:color w:val="auto"/>
        </w:rPr>
        <w:t>$5.0 million for the years ended December 31, 2018, 2017 and 2016, respectively. Stock-based compensation expense is recognized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vesting period and generally vests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vesting period. Certain awards provide for accelerated vesting when the sum of an employee's age and years of service is at least 75. We recognize forfeitures as they occur. Total income tax benefit recognized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arrangements was $1.5 million, $2.4 million and $1.9 million for each of the years ended December 31, 2018, 2017 and 2016.</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generally issue treasury shares for stock options and restricted stock, unless treasury shares are not</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available. Upon the vesting of restricted shares, we have allowed the holder to elect to surrender an amount of shares to meet their statutory tax withholding requirements. These shares are accounted for as treasury stock based upon the value of the stock on the date of vesting.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under our stock option plans (shares in thousands):</w:t>
      </w:r>
    </w:p>
    <w:p>
      <w:pPr>
        <w:spacing w:after="0" w:line="220"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7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648"/>
        <w:spacing w:after="0" w:line="220" w:lineRule="exact"/>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2018, 2017 and 2016 was $6.7 million, $3.6 million and $1.9 million, respectively. Stock options exercisable as of December 31, 2018 have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remaining contractual term of 5.4 years and an aggregate intrinsic value of $8.1 million. As of December 31, 2018, we have 0.5 million options that are vested or expected to vest; these options have a weighted average exercise price of $25.65 per share, have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remaining contractual term of 6.4 years and an aggregate intrinsic value of $9.0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2018 (shares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5"/>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660" w:type="dxa"/>
            <w:vAlign w:val="bottom"/>
            <w:gridSpan w:val="2"/>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20" w:type="dxa"/>
            <w:vAlign w:val="bottom"/>
          </w:tcPr>
          <w:p>
            <w:pPr>
              <w:spacing w:after="0"/>
              <w:rPr>
                <w:sz w:val="15"/>
                <w:szCs w:val="15"/>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2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$11.00 - $15.00</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$15.01 - $20.00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$20.01 - $36.25</w:t>
            </w: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$11.00 - $36.25</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20" w:firstLine="648"/>
        <w:spacing w:after="0" w:line="222" w:lineRule="exact"/>
        <w:rPr>
          <w:sz w:val="20"/>
          <w:szCs w:val="20"/>
          <w:color w:val="auto"/>
        </w:rPr>
      </w:pPr>
      <w:r>
        <w:rPr>
          <w:rFonts w:ascii="Times New Roman" w:cs="Times New Roman" w:eastAsia="Times New Roman" w:hAnsi="Times New Roman"/>
          <w:sz w:val="18"/>
          <w:szCs w:val="18"/>
          <w:color w:val="auto"/>
        </w:rPr>
        <w:t>The fair value of each option award is estimated, based on several assumptions,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valuation model. The fair values and the assumptions used for the 2018, 2017 and 2016 grants are shown in the table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80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5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per share of options granted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assumptions: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tcPr>
          <w:p>
            <w:pPr>
              <w:spacing w:after="0"/>
              <w:rPr>
                <w:sz w:val="18"/>
                <w:szCs w:val="18"/>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shd w:val="clear" w:color="auto" w:fill="CCEEFF"/>
          </w:tcPr>
          <w:p>
            <w:pPr>
              <w:spacing w:after="0"/>
              <w:rPr>
                <w:sz w:val="18"/>
                <w:szCs w:val="18"/>
                <w:color w:val="auto"/>
              </w:rPr>
            </w:pPr>
          </w:p>
        </w:tc>
      </w:tr>
      <w:tr>
        <w:trPr>
          <w:trHeight w:val="234"/>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term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 years</w:t>
            </w:r>
          </w:p>
        </w:tc>
      </w:tr>
    </w:tbl>
    <w:p>
      <w:pPr>
        <w:spacing w:after="0" w:line="193" w:lineRule="exact"/>
        <w:rPr>
          <w:sz w:val="20"/>
          <w:szCs w:val="20"/>
          <w:color w:val="auto"/>
        </w:rPr>
      </w:pPr>
    </w:p>
    <w:p>
      <w:pPr>
        <w:ind w:right="240" w:firstLine="648"/>
        <w:spacing w:after="0" w:line="226" w:lineRule="exact"/>
        <w:rPr>
          <w:sz w:val="20"/>
          <w:szCs w:val="20"/>
          <w:color w:val="auto"/>
        </w:rPr>
      </w:pPr>
      <w:r>
        <w:rPr>
          <w:rFonts w:ascii="Times New Roman" w:cs="Times New Roman" w:eastAsia="Times New Roman" w:hAnsi="Times New Roman"/>
          <w:sz w:val="18"/>
          <w:szCs w:val="18"/>
          <w:color w:val="auto"/>
        </w:rPr>
        <w:t>Stock options are accounted for as equity instruments. As of December 31, 2018, the unrecognized compensation cost related to stock options was $0.2 million, which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w:t>
      </w:r>
    </w:p>
    <w:p>
      <w:pPr>
        <w:spacing w:after="0"/>
        <w:rPr>
          <w:sz w:val="20"/>
          <w:szCs w:val="20"/>
          <w:color w:val="auto"/>
        </w:rPr>
      </w:pPr>
      <w:r>
        <w:rPr>
          <w:rFonts w:ascii="Times New Roman" w:cs="Times New Roman" w:eastAsia="Times New Roman" w:hAnsi="Times New Roman"/>
          <w:sz w:val="18"/>
          <w:szCs w:val="18"/>
          <w:color w:val="auto"/>
        </w:rPr>
        <w:t>1.6 years. The total fair value of options vested during the year ended December 31, 2018 was $0.9 million.</w:t>
      </w:r>
    </w:p>
    <w:p>
      <w:pPr>
        <w:spacing w:after="0" w:line="20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nonvested stock option awards as of December 31, 2018 and changes for the year ended December 31, 2018 (shares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6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0"/>
        </w:trPr>
        <w:tc>
          <w:tcPr>
            <w:tcW w:w="5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2017</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60" w:type="dxa"/>
            <w:vAlign w:val="bottom"/>
          </w:tcPr>
          <w:p>
            <w:pPr>
              <w:spacing w:after="0"/>
              <w:rPr>
                <w:sz w:val="19"/>
                <w:szCs w:val="19"/>
                <w:color w:val="auto"/>
              </w:rPr>
            </w:pPr>
          </w:p>
        </w:tc>
      </w:tr>
      <w:tr>
        <w:trPr>
          <w:trHeight w:val="23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60" w:type="dxa"/>
            <w:vAlign w:val="bottom"/>
            <w:shd w:val="clear" w:color="auto" w:fill="CCEEFF"/>
          </w:tcPr>
          <w:p>
            <w:pPr>
              <w:spacing w:after="0"/>
              <w:rPr>
                <w:sz w:val="19"/>
                <w:szCs w:val="19"/>
                <w:color w:val="auto"/>
              </w:rPr>
            </w:pPr>
          </w:p>
        </w:tc>
      </w:tr>
      <w:tr>
        <w:trPr>
          <w:trHeight w:val="230"/>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60" w:type="dxa"/>
            <w:vAlign w:val="bottom"/>
            <w:tcBorders>
              <w:bottom w:val="single" w:sz="8" w:color="CCEEFF"/>
            </w:tcBorders>
          </w:tcPr>
          <w:p>
            <w:pPr>
              <w:spacing w:after="0"/>
              <w:rPr>
                <w:sz w:val="19"/>
                <w:szCs w:val="19"/>
                <w:color w:val="auto"/>
              </w:rPr>
            </w:pPr>
          </w:p>
        </w:tc>
      </w:tr>
      <w:tr>
        <w:trPr>
          <w:trHeight w:val="217"/>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2018</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under our restricted stock plans (shares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41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Restricted Stock and Restricted Stock Units</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2"/>
                <w:szCs w:val="12"/>
                <w:color w:val="auto"/>
              </w:rPr>
            </w:pPr>
          </w:p>
        </w:tc>
        <w:tc>
          <w:tcPr>
            <w:tcW w:w="1060" w:type="dxa"/>
            <w:vAlign w:val="bottom"/>
            <w:gridSpan w:val="2"/>
          </w:tcPr>
          <w:p>
            <w:pPr>
              <w:jc w:val="right"/>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gridSpan w:val="2"/>
            <w:vMerge w:val="continue"/>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2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30.48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end of year</w:t>
            </w: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bottom w:val="single" w:sz="8" w:color="CCEEFF"/>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38.17</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20" w:lineRule="exact"/>
        <w:rPr>
          <w:sz w:val="20"/>
          <w:szCs w:val="20"/>
          <w:color w:val="auto"/>
        </w:rPr>
      </w:pPr>
      <w:r>
        <w:rPr>
          <w:rFonts w:ascii="Times New Roman" w:cs="Times New Roman" w:eastAsia="Times New Roman" w:hAnsi="Times New Roman"/>
          <w:sz w:val="18"/>
          <w:szCs w:val="18"/>
          <w:color w:val="auto"/>
        </w:rPr>
        <w:t>Approximately $0.7 million of compensation expense related to restricted stock and restricted stock units will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1.7 years. The total fair value of shares vested during the year ended December 31, 2018 was $2.6 million.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fair value per share of restricted stock shares and units awarded during 2018, 2017 and 2016 was $44.02, $35.69 and $30.25, respectively. The aggregate intrinsic value of restricted stock vested during the years ended December 31, 2018, 2017 and 2016 was $3.3 million, $3.2 million and $3.6 million, respectively.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01" w:lineRule="exact"/>
        <w:rPr>
          <w:sz w:val="20"/>
          <w:szCs w:val="20"/>
          <w:color w:val="auto"/>
        </w:rPr>
      </w:pPr>
    </w:p>
    <w:p>
      <w:pPr>
        <w:ind w:right="20" w:firstLine="648"/>
        <w:spacing w:after="0" w:line="222" w:lineRule="exact"/>
        <w:rPr>
          <w:sz w:val="20"/>
          <w:szCs w:val="20"/>
          <w:color w:val="auto"/>
        </w:rPr>
      </w:pPr>
      <w:r>
        <w:rPr>
          <w:rFonts w:ascii="Times New Roman" w:cs="Times New Roman" w:eastAsia="Times New Roman" w:hAnsi="Times New Roman"/>
          <w:sz w:val="18"/>
          <w:szCs w:val="18"/>
          <w:color w:val="auto"/>
        </w:rPr>
        <w:t>Under the 2012 Plan, we granted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denominated performance vesting restricted stock units (“PSUs”), which cliff vest at the end of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performance period. The PSUs are subject to two performance measures; 50% of the PSUs are based on the annual performance of our stock price relative to a group of our peers (total shareholder return) and 50% of the PSUs are measured based on meeting or exceeding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determined annual earnings per share target as set by our board of directors (EPS). Depending on the Company’s performance in relation to the established performance measures, the awards may vest at zero to a maximum of 2.0 times the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denominated award granted at target. Upon achievement of the necessary performance metrics, the award will be determined in dollars and may be settled in cash or stock based on the market price of the Company’s common stock at the end of the performance period, at our discretion.</w:t>
      </w:r>
    </w:p>
    <w:p>
      <w:pPr>
        <w:spacing w:after="0" w:line="172" w:lineRule="exact"/>
        <w:rPr>
          <w:sz w:val="20"/>
          <w:szCs w:val="20"/>
          <w:color w:val="auto"/>
        </w:rPr>
      </w:pPr>
    </w:p>
    <w:p>
      <w:pPr>
        <w:ind w:right="20" w:firstLine="648"/>
        <w:spacing w:after="0" w:line="221" w:lineRule="exact"/>
        <w:rPr>
          <w:sz w:val="20"/>
          <w:szCs w:val="20"/>
          <w:color w:val="auto"/>
        </w:rPr>
      </w:pPr>
      <w:r>
        <w:rPr>
          <w:rFonts w:ascii="Times New Roman" w:cs="Times New Roman" w:eastAsia="Times New Roman" w:hAnsi="Times New Roman"/>
          <w:sz w:val="18"/>
          <w:szCs w:val="18"/>
          <w:color w:val="auto"/>
        </w:rPr>
        <w:t>Compensation expense for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denominated performance units will ultimately be equal to the final dollar value awarded to the grantee upon vesting, settled either in cash or stock. However, throughout the performance period we must record and accrue expense based on an estimate of that future payout. For units determined by EPS performance, the awards are evaluated quarterly against established targets in order to estimate the liability throughout the vesting period. For units determined by total shareholder return performance, a Monte Carlo simulation model was used to estimate accruals throughout the vesting period. The model simulates our total shareholder return and compares it against our peer group over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performance period to produce a predicted distribution of relative share performance. This is applied to the reward criteria to give an expected value of the total shareholder return element. The calculated fair market value as of December 31, 2018 was $5.3 million. Of this amount, $2.1 million relates to the PSUs granted in 2016 whose performance period ended December 31, 2018. These awards will be settled within the upcoming year either in cash or stock. The expense related to performance stock units for the years ended December 31, 2018, 2017 and 2016 was $2.9 million, $2.6 million and $1.6 million, respectively. At the December 31, 2018 calculated fair market value, approximately $0.4 million of compensation expense related to performance stock units will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1.2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Selected Quarterly Financial Data (Unaudited)</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Quarterly financial information for the years ended December 31, 2018 and 2017 is summarized as follows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200" w:type="dxa"/>
            <w:vAlign w:val="bottom"/>
          </w:tcPr>
          <w:p>
            <w:pPr>
              <w:spacing w:after="0"/>
              <w:rPr>
                <w:sz w:val="12"/>
                <w:szCs w:val="12"/>
                <w:color w:val="auto"/>
              </w:rPr>
            </w:pPr>
          </w:p>
        </w:tc>
        <w:tc>
          <w:tcPr>
            <w:tcW w:w="76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40" w:type="dxa"/>
            <w:vAlign w:val="bottom"/>
          </w:tcPr>
          <w:p>
            <w:pPr>
              <w:spacing w:after="0"/>
              <w:rPr>
                <w:sz w:val="12"/>
                <w:szCs w:val="12"/>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464,941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535,043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594,536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588,359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111,183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127,868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118,175</w:t>
            </w:r>
          </w:p>
        </w:tc>
        <w:tc>
          <w:tcPr>
            <w:tcW w:w="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25,156</w:t>
            </w:r>
          </w:p>
        </w:tc>
        <w:tc>
          <w:tcPr>
            <w:tcW w:w="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40" w:type="dxa"/>
            <w:vAlign w:val="bottom"/>
            <w:shd w:val="clear" w:color="auto" w:fill="CCEEFF"/>
          </w:tcPr>
          <w:p>
            <w:pPr>
              <w:spacing w:after="0"/>
              <w:rPr>
                <w:sz w:val="18"/>
                <w:szCs w:val="18"/>
                <w:color w:val="auto"/>
              </w:rPr>
            </w:pPr>
          </w:p>
        </w:tc>
      </w:tr>
      <w:tr>
        <w:trPr>
          <w:trHeight w:val="234"/>
        </w:trPr>
        <w:tc>
          <w:tcPr>
            <w:tcW w:w="3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0"/>
                <w:szCs w:val="20"/>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0" w:type="dxa"/>
            <w:vAlign w:val="bottom"/>
          </w:tcPr>
          <w:p>
            <w:pPr>
              <w:spacing w:after="0"/>
              <w:rPr>
                <w:sz w:val="20"/>
                <w:szCs w:val="20"/>
                <w:color w:val="auto"/>
              </w:rPr>
            </w:pPr>
          </w:p>
        </w:tc>
      </w:tr>
      <w:tr>
        <w:trPr>
          <w:trHeight w:val="859"/>
        </w:trPr>
        <w:tc>
          <w:tcPr>
            <w:tcW w:w="3100" w:type="dxa"/>
            <w:vAlign w:val="bottom"/>
          </w:tcPr>
          <w:p>
            <w:pPr>
              <w:spacing w:after="0"/>
              <w:rPr>
                <w:sz w:val="24"/>
                <w:szCs w:val="24"/>
                <w:color w:val="auto"/>
              </w:rPr>
            </w:pPr>
          </w:p>
        </w:tc>
        <w:tc>
          <w:tcPr>
            <w:tcW w:w="2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1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20" w:type="dxa"/>
            <w:vAlign w:val="bottom"/>
          </w:tcPr>
          <w:p>
            <w:pPr>
              <w:spacing w:after="0"/>
              <w:rPr>
                <w:sz w:val="12"/>
                <w:szCs w:val="12"/>
                <w:color w:val="auto"/>
              </w:rPr>
            </w:pPr>
          </w:p>
        </w:tc>
        <w:tc>
          <w:tcPr>
            <w:tcW w:w="64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40" w:type="dxa"/>
            <w:vAlign w:val="bottom"/>
          </w:tcPr>
          <w:p>
            <w:pPr>
              <w:spacing w:after="0"/>
              <w:rPr>
                <w:sz w:val="12"/>
                <w:szCs w:val="12"/>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380,588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465,411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480,851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93,731</w:t>
            </w:r>
          </w:p>
        </w:tc>
        <w:tc>
          <w:tcPr>
            <w:tcW w:w="4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4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 w:type="dxa"/>
            <w:vAlign w:val="bottom"/>
            <w:shd w:val="clear" w:color="auto" w:fill="CCEEFF"/>
          </w:tcPr>
          <w:p>
            <w:pPr>
              <w:spacing w:after="0"/>
              <w:rPr>
                <w:sz w:val="18"/>
                <w:szCs w:val="18"/>
                <w:color w:val="auto"/>
              </w:rPr>
            </w:pPr>
          </w:p>
        </w:tc>
      </w:tr>
      <w:tr>
        <w:trPr>
          <w:trHeight w:val="234"/>
        </w:trPr>
        <w:tc>
          <w:tcPr>
            <w:tcW w:w="5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4408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3" w:lineRule="exact"/>
        <w:rPr>
          <w:sz w:val="20"/>
          <w:szCs w:val="20"/>
          <w:color w:val="auto"/>
        </w:rPr>
      </w:pPr>
    </w:p>
    <w:p>
      <w:pPr>
        <w:ind w:left="980" w:right="760" w:hanging="329"/>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2017, we recorded a $9.5 million increase to the provision for income taxes to remeasure our net deferred tax assets for the enacted corporate tax rate reduction.</w:t>
      </w:r>
    </w:p>
    <w:p>
      <w:pPr>
        <w:spacing w:after="0" w:line="133" w:lineRule="exact"/>
        <w:rPr>
          <w:sz w:val="20"/>
          <w:szCs w:val="20"/>
          <w:color w:val="auto"/>
        </w:rPr>
      </w:pPr>
    </w:p>
    <w:p>
      <w:pPr>
        <w:ind w:right="40" w:firstLine="648"/>
        <w:spacing w:after="0" w:line="228" w:lineRule="exact"/>
        <w:rPr>
          <w:sz w:val="20"/>
          <w:szCs w:val="20"/>
          <w:color w:val="auto"/>
        </w:rPr>
      </w:pPr>
      <w:r>
        <w:rPr>
          <w:rFonts w:ascii="Times New Roman" w:cs="Times New Roman" w:eastAsia="Times New Roman" w:hAnsi="Times New Roman"/>
          <w:sz w:val="18"/>
          <w:szCs w:val="18"/>
          <w:color w:val="auto"/>
        </w:rPr>
        <w:t>The sums of the individual quarterly earnings per share amounts do not necessarily agree with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earnings per share as each quarter’s computation is based on the weighted average number of shares outstanding during the quarter, the weighted average stock price during the quarter and the dilutive effects of options and contingently issuable restricted stock in each quarter.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ind w:right="200" w:firstLine="648"/>
        <w:spacing w:after="0" w:line="272" w:lineRule="auto"/>
        <w:rPr>
          <w:sz w:val="20"/>
          <w:szCs w:val="20"/>
          <w:color w:val="auto"/>
        </w:rPr>
      </w:pPr>
      <w:r>
        <w:rPr>
          <w:rFonts w:ascii="Times New Roman" w:cs="Times New Roman" w:eastAsia="Times New Roman" w:hAnsi="Times New Roman"/>
          <w:sz w:val="17"/>
          <w:szCs w:val="17"/>
          <w:color w:val="auto"/>
        </w:rPr>
        <w:t>In February 2019, we signed a definitive agreement, pending customary closing conditions, to acquire all of the issued and outstanding stock of Walker TX Holding Company, Inc. and each of its wholly-owned subsidiaries (collectively “Walker”). We expect the transaction to close early in the second quarter of 2019. The purchase price consists of $178 million in cash at closing, subject to working capital and certain other post-closing adjustments as set forth in the purchase agreement, and $25 million in a promissory note that is payable in two equal installments of $12.5 million on the third and fourth anniversaries of the closing date, plus an earn out that we will pay if certain financial targets are met after the acquisition date. Walker is a full-service electrical contracting and network infrastructure engineering business serving commercial and industrial clients with headquarters in Irving, Texas and operations throughout the state of Texas.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60" w:firstLine="648"/>
        <w:spacing w:after="0" w:line="219" w:lineRule="exact"/>
        <w:rPr>
          <w:sz w:val="20"/>
          <w:szCs w:val="20"/>
          <w:color w:val="auto"/>
        </w:rPr>
      </w:pPr>
      <w:r>
        <w:rPr>
          <w:rFonts w:ascii="Times New Roman" w:cs="Times New Roman" w:eastAsia="Times New Roman" w:hAnsi="Times New Roman"/>
          <w:sz w:val="18"/>
          <w:szCs w:val="18"/>
          <w:color w:val="auto"/>
        </w:rPr>
        <w:t>Our executive management is responsible for ensuring the effectiveness of the design and operation of our disclosure controls and procedures. 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of the end of the period covered by this report. Based upon that evaluation, our Chief Executive Officer and Chief Financial Officer have concluded that our disclosure controls and procedures (as defined in</w:t>
      </w:r>
    </w:p>
    <w:p>
      <w:pPr>
        <w:spacing w:after="0" w:line="1" w:lineRule="exact"/>
        <w:rPr>
          <w:sz w:val="20"/>
          <w:szCs w:val="20"/>
          <w:color w:val="auto"/>
        </w:rPr>
      </w:pPr>
    </w:p>
    <w:p>
      <w:pPr>
        <w:ind w:right="200"/>
        <w:spacing w:after="0" w:line="219" w:lineRule="exact"/>
        <w:rPr>
          <w:sz w:val="20"/>
          <w:szCs w:val="20"/>
          <w:color w:val="auto"/>
        </w:rPr>
      </w:pPr>
      <w:r>
        <w:rPr>
          <w:rFonts w:ascii="Times New Roman" w:cs="Times New Roman" w:eastAsia="Times New Roman" w:hAnsi="Times New Roman"/>
          <w:sz w:val="18"/>
          <w:szCs w:val="18"/>
          <w:color w:val="auto"/>
        </w:rPr>
        <w:t>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Securities Exchange Act of 1934) are effective as of the end of the period covered by this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Controls over Financial Reporting</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Management’s report on our internal controls over financial reporting can be found in Item 8 of this report. The Independent Registered Public Accounting Firm’s Attestation Report on the effectiveness of our internal controls over financial reporting can also be found in Item 8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80" w:firstLine="648"/>
        <w:spacing w:after="0" w:line="222" w:lineRule="exact"/>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Securities Exchange Act of 1934) during the three months ended December 31, 2018 that has materially affected, or are reasonably likely to materially affect,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right="39" w:firstLine="648"/>
        <w:spacing w:after="0" w:line="220" w:lineRule="exact"/>
        <w:rPr>
          <w:sz w:val="20"/>
          <w:szCs w:val="20"/>
          <w:color w:val="auto"/>
        </w:rPr>
      </w:pPr>
      <w:r>
        <w:rPr>
          <w:rFonts w:ascii="Times New Roman" w:cs="Times New Roman" w:eastAsia="Times New Roman" w:hAnsi="Times New Roman"/>
          <w:sz w:val="18"/>
          <w:szCs w:val="18"/>
          <w:color w:val="auto"/>
        </w:rPr>
        <w:t>We have adopted a code of ethics that applies to our principal executive officer, our principal financial officer, and our principal accounting officer, as well as to our other employees. This code of ethics consists of our Corporate Compliance Policy. The Company has made this code of ethics available on our website, as described in Item 1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If we make substantive amendments to this code of ethics or grant any waiver, including any implicit waiver, we will disclose the nature of such amendment or waiver on our website or in a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within four business days of such amendment or waiver.</w:t>
      </w:r>
    </w:p>
    <w:p>
      <w:pPr>
        <w:spacing w:after="0" w:line="170" w:lineRule="exact"/>
        <w:rPr>
          <w:sz w:val="20"/>
          <w:szCs w:val="20"/>
          <w:color w:val="auto"/>
        </w:rPr>
      </w:pPr>
    </w:p>
    <w:p>
      <w:pPr>
        <w:jc w:val="both"/>
        <w:ind w:right="259" w:firstLine="648"/>
        <w:spacing w:after="0" w:line="232" w:lineRule="exact"/>
        <w:rPr>
          <w:sz w:val="20"/>
          <w:szCs w:val="20"/>
          <w:color w:val="auto"/>
        </w:rPr>
      </w:pPr>
      <w:r>
        <w:rPr>
          <w:rFonts w:ascii="Times New Roman" w:cs="Times New Roman" w:eastAsia="Times New Roman" w:hAnsi="Times New Roman"/>
          <w:sz w:val="18"/>
          <w:szCs w:val="18"/>
          <w:color w:val="auto"/>
        </w:rPr>
        <w:t>The other information called for by this item has been omitted in accordance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Company will file with the Commission a definitive proxy statement including the other information to be disclosed under this item in the 120 days following December 31, 2018 and such information is hereby incorporated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11, 12, 13 AND 14.</w:t>
      </w:r>
    </w:p>
    <w:p>
      <w:pPr>
        <w:spacing w:after="0" w:line="201" w:lineRule="exact"/>
        <w:rPr>
          <w:sz w:val="20"/>
          <w:szCs w:val="20"/>
          <w:color w:val="auto"/>
        </w:rPr>
      </w:pPr>
    </w:p>
    <w:p>
      <w:pPr>
        <w:ind w:right="19" w:firstLine="648"/>
        <w:spacing w:after="0" w:line="232" w:lineRule="exact"/>
        <w:rPr>
          <w:sz w:val="20"/>
          <w:szCs w:val="20"/>
          <w:color w:val="auto"/>
        </w:rPr>
      </w:pPr>
      <w:r>
        <w:rPr>
          <w:rFonts w:ascii="Times New Roman" w:cs="Times New Roman" w:eastAsia="Times New Roman" w:hAnsi="Times New Roman"/>
          <w:sz w:val="18"/>
          <w:szCs w:val="18"/>
          <w:color w:val="auto"/>
        </w:rPr>
        <w:t>These items have been omitted in accordance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Company will file with the Commission a definitive proxy statement including the information to be disclosed under the items in the 120 days following December 31, 2018 and such information is hereby incorporated by reference.</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01" w:lineRule="exact"/>
        <w:rPr>
          <w:sz w:val="20"/>
          <w:szCs w:val="20"/>
          <w:color w:val="auto"/>
        </w:rPr>
      </w:pPr>
    </w:p>
    <w:p>
      <w:pPr>
        <w:ind w:left="700" w:hanging="697"/>
        <w:spacing w:after="0" w:line="207" w:lineRule="exact"/>
        <w:tabs>
          <w:tab w:leader="none" w:pos="7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documents are filed as part of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w:t>
      </w:r>
    </w:p>
    <w:p>
      <w:pPr>
        <w:spacing w:after="0" w:line="253" w:lineRule="exact"/>
        <w:rPr>
          <w:rFonts w:ascii="Times New Roman" w:cs="Times New Roman" w:eastAsia="Times New Roman" w:hAnsi="Times New Roman"/>
          <w:sz w:val="18"/>
          <w:szCs w:val="18"/>
          <w:i w:val="1"/>
          <w:iCs w:val="1"/>
          <w:color w:val="auto"/>
        </w:rPr>
      </w:pPr>
    </w:p>
    <w:p>
      <w:pPr>
        <w:ind w:left="1300" w:right="139" w:hanging="649"/>
        <w:spacing w:after="0" w:line="235" w:lineRule="exact"/>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The Index to the Consolidated Financial Statements is included under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is incorporated herein by reference.</w:t>
      </w:r>
    </w:p>
    <w:p>
      <w:pPr>
        <w:spacing w:after="0" w:line="179" w:lineRule="exact"/>
        <w:rPr>
          <w:rFonts w:ascii="Times New Roman" w:cs="Times New Roman" w:eastAsia="Times New Roman" w:hAnsi="Times New Roman"/>
          <w:sz w:val="18"/>
          <w:szCs w:val="18"/>
          <w:color w:val="auto"/>
        </w:rPr>
      </w:pPr>
    </w:p>
    <w:p>
      <w:pPr>
        <w:ind w:left="1300" w:right="5479" w:hanging="649"/>
        <w:spacing w:after="0" w:line="499"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 w:lineRule="exact"/>
        <w:rPr>
          <w:rFonts w:ascii="Times New Roman" w:cs="Times New Roman" w:eastAsia="Times New Roman" w:hAnsi="Times New Roman"/>
          <w:sz w:val="18"/>
          <w:szCs w:val="18"/>
          <w:color w:val="auto"/>
        </w:rPr>
      </w:pPr>
    </w:p>
    <w:p>
      <w:pPr>
        <w:ind w:left="700" w:hanging="697"/>
        <w:spacing w:after="0"/>
        <w:tabs>
          <w:tab w:leader="none" w:pos="7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660" w:right="59"/>
        <w:spacing w:after="0" w:line="282" w:lineRule="auto"/>
        <w:rPr>
          <w:sz w:val="20"/>
          <w:szCs w:val="20"/>
          <w:color w:val="auto"/>
        </w:rPr>
      </w:pPr>
      <w:r>
        <w:rPr>
          <w:rFonts w:ascii="Times New Roman" w:cs="Times New Roman" w:eastAsia="Times New Roman" w:hAnsi="Times New Roman"/>
          <w:sz w:val="18"/>
          <w:szCs w:val="18"/>
          <w:color w:val="auto"/>
        </w:rPr>
        <w:t>Reference is made to the Index of Exhibits immediately following the signature page thereof, which is incorporated herein by reference.</w:t>
      </w:r>
    </w:p>
    <w:p>
      <w:pPr>
        <w:spacing w:after="0" w:line="160" w:lineRule="exact"/>
        <w:rPr>
          <w:sz w:val="20"/>
          <w:szCs w:val="20"/>
          <w:color w:val="auto"/>
        </w:rPr>
      </w:pPr>
    </w:p>
    <w:p>
      <w:pPr>
        <w:ind w:left="680" w:hanging="677"/>
        <w:spacing w:after="0"/>
        <w:tabs>
          <w:tab w:leader="none" w:pos="6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Excluded financial statements: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27"/>
          </w:tcPr>
          <w:p>
            <w:pPr>
              <w:ind w:left="74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Exhibit Indicated Below</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and to the Filing with the</w:t>
            </w:r>
          </w:p>
        </w:tc>
        <w:tc>
          <w:tcPr>
            <w:tcW w:w="0" w:type="dxa"/>
            <w:vAlign w:val="bottom"/>
          </w:tcPr>
          <w:p>
            <w:pPr>
              <w:spacing w:after="0"/>
              <w:rPr>
                <w:sz w:val="1"/>
                <w:szCs w:val="1"/>
                <w:color w:val="auto"/>
              </w:rPr>
            </w:pPr>
          </w:p>
        </w:tc>
      </w:tr>
      <w:tr>
        <w:trPr>
          <w:trHeight w:val="187"/>
        </w:trPr>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Indicated Below</w:t>
            </w:r>
          </w:p>
        </w:tc>
        <w:tc>
          <w:tcPr>
            <w:tcW w:w="0" w:type="dxa"/>
            <w:vAlign w:val="bottom"/>
          </w:tcPr>
          <w:p>
            <w:pPr>
              <w:spacing w:after="0"/>
              <w:rPr>
                <w:sz w:val="1"/>
                <w:szCs w:val="1"/>
                <w:color w:val="auto"/>
              </w:rPr>
            </w:pPr>
          </w:p>
        </w:tc>
      </w:tr>
      <w:tr>
        <w:trPr>
          <w:trHeight w:val="131"/>
        </w:trPr>
        <w:tc>
          <w:tcPr>
            <w:tcW w:w="10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00" w:type="dxa"/>
            <w:vAlign w:val="bottom"/>
            <w:gridSpan w:val="2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or File Number</w:t>
            </w:r>
          </w:p>
        </w:tc>
        <w:tc>
          <w:tcPr>
            <w:tcW w:w="0" w:type="dxa"/>
            <w:vAlign w:val="bottom"/>
          </w:tcPr>
          <w:p>
            <w:pPr>
              <w:spacing w:after="0"/>
              <w:rPr>
                <w:sz w:val="1"/>
                <w:szCs w:val="1"/>
                <w:color w:val="auto"/>
              </w:rPr>
            </w:pPr>
          </w:p>
        </w:tc>
      </w:tr>
      <w:tr>
        <w:trPr>
          <w:trHeight w:val="156"/>
        </w:trPr>
        <w:tc>
          <w:tcPr>
            <w:tcW w:w="8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3"/>
                <w:szCs w:val="13"/>
                <w:color w:val="auto"/>
              </w:rPr>
            </w:pPr>
          </w:p>
        </w:tc>
        <w:tc>
          <w:tcPr>
            <w:tcW w:w="5140" w:type="dxa"/>
            <w:vAlign w:val="bottom"/>
            <w:tcBorders>
              <w:top w:val="single" w:sz="8" w:color="auto"/>
            </w:tcBorders>
            <w:gridSpan w:val="31"/>
          </w:tcPr>
          <w:p>
            <w:pPr>
              <w:ind w:left="20"/>
              <w:spacing w:after="0" w:line="15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Second Amended and Restated Certificate of Incorporation of the</w:t>
              </w:r>
            </w:hyperlink>
          </w:p>
        </w:tc>
        <w:tc>
          <w:tcPr>
            <w:tcW w:w="20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3"/>
                <w:szCs w:val="13"/>
                <w:color w:val="auto"/>
              </w:rPr>
            </w:pPr>
          </w:p>
        </w:tc>
        <w:tc>
          <w:tcPr>
            <w:tcW w:w="17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24021</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Borders>
              <w:top w:val="single" w:sz="8" w:color="0000EE"/>
            </w:tcBorders>
            <w:gridSpan w:val="23"/>
          </w:tcPr>
          <w:p>
            <w:pPr>
              <w:ind w:left="20"/>
              <w:spacing w:after="0" w:line="170"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Registrant</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restart"/>
          </w:tcPr>
          <w:p>
            <w:pPr>
              <w:jc w:val="center"/>
              <w:spacing w:after="0" w:line="207" w:lineRule="exact"/>
              <w:rPr>
                <w:sz w:val="20"/>
                <w:szCs w:val="20"/>
                <w:color w:val="auto"/>
              </w:rPr>
            </w:pPr>
            <w:r>
              <w:rPr>
                <w:rFonts w:ascii="Times New Roman" w:cs="Times New Roman" w:eastAsia="Times New Roman" w:hAnsi="Times New Roman"/>
                <w:sz w:val="18"/>
                <w:szCs w:val="18"/>
                <w:color w:val="auto"/>
              </w:rPr>
              <w:t>1998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14"/>
                <w:szCs w:val="14"/>
                <w:color w:val="auto"/>
              </w:rPr>
            </w:pPr>
          </w:p>
        </w:tc>
        <w:tc>
          <w:tcPr>
            <w:tcW w:w="740" w:type="dxa"/>
            <w:vAlign w:val="bottom"/>
            <w:tcBorders>
              <w:top w:val="single" w:sz="8" w:color="0000EE"/>
            </w:tcBorders>
            <w:gridSpan w:val="2"/>
          </w:tcPr>
          <w:p>
            <w:pPr>
              <w:ind w:left="20"/>
              <w:spacing w:after="0" w:line="170" w:lineRule="exact"/>
              <w:rPr>
                <w:rFonts w:ascii="Times New Roman" w:cs="Times New Roman" w:eastAsia="Times New Roman" w:hAnsi="Times New Roman"/>
                <w:sz w:val="18"/>
                <w:szCs w:val="18"/>
                <w:color w:val="0000EE"/>
                <w:w w:val="92"/>
              </w:rPr>
            </w:pPr>
            <w:hyperlink r:id="rId92">
              <w:r>
                <w:rPr>
                  <w:rFonts w:ascii="Times New Roman" w:cs="Times New Roman" w:eastAsia="Times New Roman" w:hAnsi="Times New Roman"/>
                  <w:sz w:val="18"/>
                  <w:szCs w:val="18"/>
                  <w:color w:val="0000EE"/>
                  <w:w w:val="92"/>
                </w:rPr>
                <w:t>Certificate</w:t>
              </w:r>
            </w:hyperlink>
          </w:p>
        </w:tc>
        <w:tc>
          <w:tcPr>
            <w:tcW w:w="4600" w:type="dxa"/>
            <w:vAlign w:val="bottom"/>
            <w:gridSpan w:val="30"/>
          </w:tcPr>
          <w:p>
            <w:pPr>
              <w:ind w:left="80"/>
              <w:spacing w:after="0" w:line="170"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of Amendment dated May 21, 1998</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3.3</w:t>
            </w:r>
          </w:p>
        </w:tc>
        <w:tc>
          <w:tcPr>
            <w:tcW w:w="200" w:type="dxa"/>
            <w:vAlign w:val="bottom"/>
          </w:tcPr>
          <w:p>
            <w:pPr>
              <w:spacing w:after="0"/>
              <w:rPr>
                <w:sz w:val="14"/>
                <w:szCs w:val="14"/>
                <w:color w:val="auto"/>
              </w:rPr>
            </w:pPr>
          </w:p>
        </w:tc>
        <w:tc>
          <w:tcPr>
            <w:tcW w:w="3380" w:type="dxa"/>
            <w:vAlign w:val="bottom"/>
            <w:tcBorders>
              <w:top w:val="single" w:sz="8" w:color="0000EE"/>
            </w:tcBorders>
            <w:gridSpan w:val="9"/>
          </w:tcPr>
          <w:p>
            <w:pPr>
              <w:ind w:left="20"/>
              <w:spacing w:after="0" w:line="170"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Certificate of Amendment dated July 9, 2003</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2003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20"/>
        </w:trPr>
        <w:tc>
          <w:tcPr>
            <w:tcW w:w="86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3.4</w:t>
            </w: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line="20" w:lineRule="exact"/>
              <w:rPr>
                <w:sz w:val="1"/>
                <w:szCs w:val="1"/>
                <w:color w:val="auto"/>
              </w:rPr>
            </w:pPr>
          </w:p>
        </w:tc>
        <w:tc>
          <w:tcPr>
            <w:tcW w:w="176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May 20, 2016</w:t>
            </w:r>
          </w:p>
        </w:tc>
        <w:tc>
          <w:tcPr>
            <w:tcW w:w="0" w:type="dxa"/>
            <w:vAlign w:val="bottom"/>
          </w:tcPr>
          <w:p>
            <w:pPr>
              <w:spacing w:after="0" w:line="20" w:lineRule="exact"/>
              <w:rPr>
                <w:sz w:val="1"/>
                <w:szCs w:val="1"/>
                <w:color w:val="auto"/>
              </w:rPr>
            </w:pPr>
          </w:p>
        </w:tc>
      </w:tr>
      <w:tr>
        <w:trPr>
          <w:trHeight w:val="169"/>
        </w:trPr>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gridSpan w:val="32"/>
          </w:tcPr>
          <w:p>
            <w:pPr>
              <w:ind w:left="20"/>
              <w:spacing w:after="0" w:line="170"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Certificate of Amendment dated May 20, 2016</w:t>
              </w:r>
            </w:hyperlink>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3.5</w:t>
            </w:r>
          </w:p>
        </w:tc>
        <w:tc>
          <w:tcPr>
            <w:tcW w:w="200" w:type="dxa"/>
            <w:vAlign w:val="bottom"/>
          </w:tcPr>
          <w:p>
            <w:pPr>
              <w:spacing w:after="0"/>
              <w:rPr>
                <w:sz w:val="16"/>
                <w:szCs w:val="16"/>
                <w:color w:val="auto"/>
              </w:rPr>
            </w:pPr>
          </w:p>
        </w:tc>
        <w:tc>
          <w:tcPr>
            <w:tcW w:w="53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Amended and Restated Bylaws of Comfort Systems USA, Inc.</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25, 2016</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98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203"/>
        </w:trPr>
        <w:tc>
          <w:tcPr>
            <w:tcW w:w="8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17"/>
                <w:szCs w:val="17"/>
                <w:color w:val="auto"/>
              </w:rPr>
            </w:pPr>
          </w:p>
        </w:tc>
        <w:tc>
          <w:tcPr>
            <w:tcW w:w="5340" w:type="dxa"/>
            <w:vAlign w:val="bottom"/>
            <w:gridSpan w:val="32"/>
          </w:tcPr>
          <w:p>
            <w:pPr>
              <w:ind w:left="20"/>
              <w:spacing w:after="0" w:line="202"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certificate evidencing ownership of Common Stock of the</w:t>
              </w:r>
            </w:hyperlink>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24021</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20" w:type="dxa"/>
            <w:vAlign w:val="bottom"/>
            <w:tcBorders>
              <w:top w:val="single" w:sz="8" w:color="0000EE"/>
            </w:tcBorders>
            <w:gridSpan w:val="24"/>
          </w:tcPr>
          <w:p>
            <w:pPr>
              <w:ind w:left="20"/>
              <w:spacing w:after="0" w:line="170"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Registrant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*10.1</w:t>
            </w:r>
          </w:p>
        </w:tc>
        <w:tc>
          <w:tcPr>
            <w:tcW w:w="200" w:type="dxa"/>
            <w:vAlign w:val="bottom"/>
          </w:tcPr>
          <w:p>
            <w:pPr>
              <w:spacing w:after="0"/>
              <w:rPr>
                <w:sz w:val="14"/>
                <w:szCs w:val="14"/>
                <w:color w:val="auto"/>
              </w:rPr>
            </w:pPr>
          </w:p>
        </w:tc>
        <w:tc>
          <w:tcPr>
            <w:tcW w:w="740" w:type="dxa"/>
            <w:vAlign w:val="bottom"/>
            <w:tcBorders>
              <w:top w:val="single" w:sz="8" w:color="0000EE"/>
            </w:tcBorders>
            <w:gridSpan w:val="2"/>
          </w:tcPr>
          <w:p>
            <w:pPr>
              <w:ind w:left="20"/>
              <w:spacing w:after="0" w:line="170"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Comfort</w:t>
              </w:r>
            </w:hyperlink>
          </w:p>
        </w:tc>
        <w:tc>
          <w:tcPr>
            <w:tcW w:w="4600" w:type="dxa"/>
            <w:vAlign w:val="bottom"/>
            <w:gridSpan w:val="30"/>
          </w:tcPr>
          <w:p>
            <w:pPr>
              <w:jc w:val="center"/>
              <w:ind w:right="960"/>
              <w:spacing w:after="0" w:line="170" w:lineRule="exact"/>
              <w:rPr>
                <w:rFonts w:ascii="Times New Roman" w:cs="Times New Roman" w:eastAsia="Times New Roman" w:hAnsi="Times New Roman"/>
                <w:sz w:val="18"/>
                <w:szCs w:val="18"/>
                <w:color w:val="0000EE"/>
                <w:w w:val="97"/>
              </w:rPr>
            </w:pPr>
            <w:hyperlink r:id="rId96">
              <w:r>
                <w:rPr>
                  <w:rFonts w:ascii="Times New Roman" w:cs="Times New Roman" w:eastAsia="Times New Roman" w:hAnsi="Times New Roman"/>
                  <w:sz w:val="18"/>
                  <w:szCs w:val="18"/>
                  <w:color w:val="0000EE"/>
                  <w:w w:val="97"/>
                </w:rPr>
                <w:t>Systems USA, Inc. 1997 Long</w:t>
              </w:r>
              <w:r>
                <w:rPr>
                  <w:rFonts w:ascii="MS PGothic" w:cs="MS PGothic" w:eastAsia="MS PGothic" w:hAnsi="MS PGothic"/>
                  <w:sz w:val="18"/>
                  <w:szCs w:val="18"/>
                  <w:color w:val="0000EE"/>
                  <w:w w:val="97"/>
                </w:rPr>
                <w:t>‑</w:t>
              </w:r>
              <w:r>
                <w:rPr>
                  <w:rFonts w:ascii="Times New Roman" w:cs="Times New Roman" w:eastAsia="Times New Roman" w:hAnsi="Times New Roman"/>
                  <w:sz w:val="18"/>
                  <w:szCs w:val="18"/>
                  <w:color w:val="0000EE"/>
                  <w:w w:val="97"/>
                </w:rPr>
                <w:t>Term Incentive Plan</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24021</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*10.2</w:t>
            </w:r>
          </w:p>
        </w:tc>
        <w:tc>
          <w:tcPr>
            <w:tcW w:w="200" w:type="dxa"/>
            <w:vAlign w:val="bottom"/>
          </w:tcPr>
          <w:p>
            <w:pPr>
              <w:spacing w:after="0"/>
              <w:rPr>
                <w:sz w:val="14"/>
                <w:szCs w:val="14"/>
                <w:color w:val="auto"/>
              </w:rPr>
            </w:pPr>
          </w:p>
        </w:tc>
        <w:tc>
          <w:tcPr>
            <w:tcW w:w="4380" w:type="dxa"/>
            <w:vAlign w:val="bottom"/>
            <w:tcBorders>
              <w:top w:val="single" w:sz="8" w:color="0000EE"/>
            </w:tcBorders>
            <w:gridSpan w:val="18"/>
          </w:tcPr>
          <w:p>
            <w:pPr>
              <w:ind w:left="20"/>
              <w:spacing w:after="0" w:line="170"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Comfort Systems USA, Inc. 1997 Non</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Employee Directors’</w:t>
              </w:r>
            </w:hyperlink>
          </w:p>
        </w:tc>
        <w:tc>
          <w:tcPr>
            <w:tcW w:w="960" w:type="dxa"/>
            <w:vAlign w:val="bottom"/>
            <w:gridSpan w:val="14"/>
          </w:tcPr>
          <w:p>
            <w:pPr>
              <w:ind w:left="40"/>
              <w:spacing w:after="0" w:line="170"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Stock</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24021</w:t>
            </w:r>
          </w:p>
        </w:tc>
        <w:tc>
          <w:tcPr>
            <w:tcW w:w="0" w:type="dxa"/>
            <w:vAlign w:val="bottom"/>
          </w:tcPr>
          <w:p>
            <w:pPr>
              <w:spacing w:after="0"/>
              <w:rPr>
                <w:sz w:val="1"/>
                <w:szCs w:val="1"/>
                <w:color w:val="auto"/>
              </w:rPr>
            </w:pPr>
          </w:p>
        </w:tc>
      </w:tr>
      <w:tr>
        <w:trPr>
          <w:trHeight w:val="169"/>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00" w:type="dxa"/>
            <w:vAlign w:val="bottom"/>
          </w:tcPr>
          <w:p>
            <w:pPr>
              <w:spacing w:after="0"/>
              <w:rPr>
                <w:sz w:val="14"/>
                <w:szCs w:val="14"/>
                <w:color w:val="auto"/>
              </w:rPr>
            </w:pPr>
          </w:p>
        </w:tc>
        <w:tc>
          <w:tcPr>
            <w:tcW w:w="340" w:type="dxa"/>
            <w:vAlign w:val="bottom"/>
            <w:tcBorders>
              <w:top w:val="single" w:sz="8" w:color="0000EE"/>
              <w:bottom w:val="single" w:sz="8" w:color="0000EE"/>
            </w:tcBorders>
          </w:tcPr>
          <w:p>
            <w:pPr>
              <w:ind w:left="20"/>
              <w:spacing w:after="0" w:line="170" w:lineRule="exact"/>
              <w:rPr>
                <w:rFonts w:ascii="Times New Roman" w:cs="Times New Roman" w:eastAsia="Times New Roman" w:hAnsi="Times New Roman"/>
                <w:sz w:val="18"/>
                <w:szCs w:val="18"/>
                <w:color w:val="0000EE"/>
                <w:w w:val="93"/>
              </w:rPr>
            </w:pPr>
            <w:hyperlink r:id="rId96">
              <w:r>
                <w:rPr>
                  <w:rFonts w:ascii="Times New Roman" w:cs="Times New Roman" w:eastAsia="Times New Roman" w:hAnsi="Times New Roman"/>
                  <w:sz w:val="18"/>
                  <w:szCs w:val="18"/>
                  <w:color w:val="0000EE"/>
                  <w:w w:val="93"/>
                </w:rPr>
                <w:t>Plan</w:t>
              </w:r>
            </w:hyperlink>
          </w:p>
        </w:tc>
        <w:tc>
          <w:tcPr>
            <w:tcW w:w="4500" w:type="dxa"/>
            <w:vAlign w:val="bottom"/>
            <w:tcBorders>
              <w:top w:val="single" w:sz="8" w:color="0000EE"/>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Second Quarter 2002</w:t>
            </w:r>
          </w:p>
        </w:tc>
        <w:tc>
          <w:tcPr>
            <w:tcW w:w="0" w:type="dxa"/>
            <w:vAlign w:val="bottom"/>
          </w:tcPr>
          <w:p>
            <w:pPr>
              <w:spacing w:after="0"/>
              <w:rPr>
                <w:sz w:val="1"/>
                <w:szCs w:val="1"/>
                <w:color w:val="auto"/>
              </w:rPr>
            </w:pPr>
          </w:p>
        </w:tc>
      </w:tr>
      <w:tr>
        <w:trPr>
          <w:trHeight w:val="169"/>
        </w:trPr>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gridSpan w:val="32"/>
          </w:tcPr>
          <w:p>
            <w:pPr>
              <w:ind w:left="20"/>
              <w:spacing w:after="0" w:line="170"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Amendment to the 1997 Non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Employee Directors’ Stock Plan dated</w:t>
              </w:r>
            </w:hyperlink>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top w:val="single" w:sz="8" w:color="0000EE"/>
              <w:bottom w:val="single" w:sz="8" w:color="0000EE"/>
            </w:tcBorders>
            <w:gridSpan w:val="3"/>
          </w:tcPr>
          <w:p>
            <w:pPr>
              <w:ind w:left="20"/>
              <w:spacing w:after="0" w:line="170"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May 23, 2002</w:t>
              </w:r>
            </w:hyperlink>
          </w:p>
        </w:tc>
        <w:tc>
          <w:tcPr>
            <w:tcW w:w="3920" w:type="dxa"/>
            <w:vAlign w:val="bottom"/>
            <w:tcBorders>
              <w:top w:val="single" w:sz="8" w:color="0000EE"/>
            </w:tcBorders>
            <w:gridSpan w:val="26"/>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Form 10</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Q/A</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*10.4</w:t>
            </w:r>
          </w:p>
        </w:tc>
        <w:tc>
          <w:tcPr>
            <w:tcW w:w="200" w:type="dxa"/>
            <w:vAlign w:val="bottom"/>
          </w:tcPr>
          <w:p>
            <w:pPr>
              <w:spacing w:after="0"/>
              <w:rPr>
                <w:sz w:val="14"/>
                <w:szCs w:val="14"/>
                <w:color w:val="auto"/>
              </w:rPr>
            </w:pPr>
          </w:p>
        </w:tc>
        <w:tc>
          <w:tcPr>
            <w:tcW w:w="5340" w:type="dxa"/>
            <w:vAlign w:val="bottom"/>
            <w:gridSpan w:val="32"/>
          </w:tcPr>
          <w:p>
            <w:pPr>
              <w:ind w:left="20"/>
              <w:spacing w:after="0" w:line="170"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Comfort Systems USA, Inc. 2006 Equity Incentive Plan</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138377</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*10.5</w:t>
            </w:r>
          </w:p>
        </w:tc>
        <w:tc>
          <w:tcPr>
            <w:tcW w:w="200" w:type="dxa"/>
            <w:vAlign w:val="bottom"/>
          </w:tcPr>
          <w:p>
            <w:pPr>
              <w:spacing w:after="0"/>
              <w:rPr>
                <w:sz w:val="14"/>
                <w:szCs w:val="14"/>
                <w:color w:val="auto"/>
              </w:rPr>
            </w:pPr>
          </w:p>
        </w:tc>
        <w:tc>
          <w:tcPr>
            <w:tcW w:w="4040" w:type="dxa"/>
            <w:vAlign w:val="bottom"/>
            <w:tcBorders>
              <w:top w:val="single" w:sz="8" w:color="0000EE"/>
            </w:tcBorders>
            <w:gridSpan w:val="13"/>
          </w:tcPr>
          <w:p>
            <w:pPr>
              <w:ind w:left="20"/>
              <w:spacing w:after="0" w:line="170" w:lineRule="exact"/>
              <w:rPr>
                <w:rFonts w:ascii="Times New Roman" w:cs="Times New Roman" w:eastAsia="Times New Roman" w:hAnsi="Times New Roman"/>
                <w:sz w:val="18"/>
                <w:szCs w:val="18"/>
                <w:color w:val="0000EE"/>
                <w:w w:val="96"/>
              </w:rPr>
            </w:pPr>
            <w:hyperlink r:id="rId99">
              <w:r>
                <w:rPr>
                  <w:rFonts w:ascii="Times New Roman" w:cs="Times New Roman" w:eastAsia="Times New Roman" w:hAnsi="Times New Roman"/>
                  <w:sz w:val="18"/>
                  <w:szCs w:val="18"/>
                  <w:color w:val="0000EE"/>
                  <w:w w:val="96"/>
                </w:rPr>
                <w:t>Form of Option Award under the Comfort Systems USA,</w:t>
              </w:r>
            </w:hyperlink>
          </w:p>
        </w:tc>
        <w:tc>
          <w:tcPr>
            <w:tcW w:w="1300" w:type="dxa"/>
            <w:vAlign w:val="bottom"/>
            <w:gridSpan w:val="19"/>
          </w:tcPr>
          <w:p>
            <w:pPr>
              <w:jc w:val="right"/>
              <w:ind w:right="480"/>
              <w:spacing w:after="0" w:line="170"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 2006</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2006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60" w:type="dxa"/>
            <w:vAlign w:val="bottom"/>
            <w:tcBorders>
              <w:top w:val="single" w:sz="8" w:color="0000EE"/>
            </w:tcBorders>
            <w:gridSpan w:val="26"/>
          </w:tcPr>
          <w:p>
            <w:pPr>
              <w:ind w:left="20"/>
              <w:spacing w:after="0" w:line="170"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Equity Incentive Plan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restart"/>
          </w:tcPr>
          <w:p>
            <w:pPr>
              <w:jc w:val="center"/>
              <w:spacing w:after="0" w:line="207" w:lineRule="exact"/>
              <w:rPr>
                <w:sz w:val="20"/>
                <w:szCs w:val="20"/>
                <w:color w:val="auto"/>
              </w:rPr>
            </w:pPr>
            <w:r>
              <w:rPr>
                <w:rFonts w:ascii="Times New Roman" w:cs="Times New Roman" w:eastAsia="Times New Roman" w:hAnsi="Times New Roman"/>
                <w:sz w:val="18"/>
                <w:szCs w:val="18"/>
                <w:color w:val="auto"/>
              </w:rPr>
              <w:t>2006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*10.6</w:t>
            </w:r>
          </w:p>
        </w:tc>
        <w:tc>
          <w:tcPr>
            <w:tcW w:w="200" w:type="dxa"/>
            <w:vAlign w:val="bottom"/>
          </w:tcPr>
          <w:p>
            <w:pPr>
              <w:spacing w:after="0"/>
              <w:rPr>
                <w:sz w:val="14"/>
                <w:szCs w:val="14"/>
                <w:color w:val="auto"/>
              </w:rPr>
            </w:pPr>
          </w:p>
        </w:tc>
        <w:tc>
          <w:tcPr>
            <w:tcW w:w="1560" w:type="dxa"/>
            <w:vAlign w:val="bottom"/>
            <w:tcBorders>
              <w:top w:val="single" w:sz="8" w:color="0000EE"/>
            </w:tcBorders>
            <w:gridSpan w:val="4"/>
          </w:tcPr>
          <w:p>
            <w:pPr>
              <w:ind w:left="20"/>
              <w:spacing w:after="0" w:line="170" w:lineRule="exact"/>
              <w:rPr>
                <w:rFonts w:ascii="Times New Roman" w:cs="Times New Roman" w:eastAsia="Times New Roman" w:hAnsi="Times New Roman"/>
                <w:sz w:val="18"/>
                <w:szCs w:val="18"/>
                <w:color w:val="0000EE"/>
                <w:w w:val="91"/>
              </w:rPr>
            </w:pPr>
            <w:hyperlink r:id="rId100">
              <w:r>
                <w:rPr>
                  <w:rFonts w:ascii="Times New Roman" w:cs="Times New Roman" w:eastAsia="Times New Roman" w:hAnsi="Times New Roman"/>
                  <w:sz w:val="18"/>
                  <w:szCs w:val="18"/>
                  <w:color w:val="0000EE"/>
                  <w:w w:val="91"/>
                </w:rPr>
                <w:t>Form of Option Award</w:t>
              </w:r>
            </w:hyperlink>
          </w:p>
        </w:tc>
        <w:tc>
          <w:tcPr>
            <w:tcW w:w="3780" w:type="dxa"/>
            <w:vAlign w:val="bottom"/>
            <w:gridSpan w:val="28"/>
          </w:tcPr>
          <w:p>
            <w:pPr>
              <w:jc w:val="right"/>
              <w:ind w:right="480"/>
              <w:spacing w:after="0" w:line="170"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under the Comfort Systems USA, Inc. 2006</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200" w:type="dxa"/>
            <w:vAlign w:val="bottom"/>
          </w:tcPr>
          <w:p>
            <w:pPr>
              <w:spacing w:after="0"/>
              <w:rPr>
                <w:sz w:val="14"/>
                <w:szCs w:val="14"/>
                <w:color w:val="auto"/>
              </w:rPr>
            </w:pPr>
          </w:p>
        </w:tc>
        <w:tc>
          <w:tcPr>
            <w:tcW w:w="4860" w:type="dxa"/>
            <w:vAlign w:val="bottom"/>
            <w:tcBorders>
              <w:top w:val="single" w:sz="8" w:color="0000EE"/>
            </w:tcBorders>
            <w:gridSpan w:val="26"/>
          </w:tcPr>
          <w:p>
            <w:pPr>
              <w:ind w:left="20"/>
              <w:spacing w:after="0" w:line="170"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Stock Options/SAR Plan for Non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Employee Directors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Second Quarter 2003</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gridSpan w:val="32"/>
          </w:tcPr>
          <w:p>
            <w:pPr>
              <w:ind w:left="20"/>
              <w:spacing w:after="0" w:line="170"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Employment Agreement between the Company, Eastern Heating &amp;</w:t>
              </w:r>
            </w:hyperlink>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Borders>
              <w:top w:val="single" w:sz="8" w:color="0000EE"/>
              <w:bottom w:val="single" w:sz="8" w:color="0000EE"/>
            </w:tcBorders>
            <w:gridSpan w:val="7"/>
          </w:tcPr>
          <w:p>
            <w:pPr>
              <w:ind w:left="20"/>
              <w:spacing w:after="0" w:line="170"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Cooling, Inc. and Alfred J. Giardinelli, Jr.</w:t>
              </w:r>
            </w:hyperlink>
          </w:p>
        </w:tc>
        <w:tc>
          <w:tcPr>
            <w:tcW w:w="1860" w:type="dxa"/>
            <w:vAlign w:val="bottom"/>
            <w:tcBorders>
              <w:top w:val="single" w:sz="8" w:color="0000EE"/>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*10.8</w:t>
            </w:r>
          </w:p>
        </w:tc>
        <w:tc>
          <w:tcPr>
            <w:tcW w:w="200" w:type="dxa"/>
            <w:vAlign w:val="bottom"/>
          </w:tcPr>
          <w:p>
            <w:pPr>
              <w:spacing w:after="0"/>
              <w:rPr>
                <w:sz w:val="14"/>
                <w:szCs w:val="14"/>
                <w:color w:val="auto"/>
              </w:rPr>
            </w:pPr>
          </w:p>
        </w:tc>
        <w:tc>
          <w:tcPr>
            <w:tcW w:w="5340" w:type="dxa"/>
            <w:vAlign w:val="bottom"/>
            <w:gridSpan w:val="32"/>
          </w:tcPr>
          <w:p>
            <w:pPr>
              <w:ind w:left="20"/>
              <w:spacing w:after="0" w:line="170"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Amended and Restated 2006 Equity Compensation Plan for</w:t>
              </w:r>
            </w:hyperlink>
          </w:p>
        </w:tc>
        <w:tc>
          <w:tcPr>
            <w:tcW w:w="900" w:type="dxa"/>
            <w:vAlign w:val="bottom"/>
            <w:gridSpan w:val="2"/>
          </w:tcPr>
          <w:p>
            <w:pPr>
              <w:jc w:val="right"/>
              <w:ind w:right="180"/>
              <w:spacing w:after="0" w:line="170" w:lineRule="exact"/>
              <w:rPr>
                <w:sz w:val="20"/>
                <w:szCs w:val="20"/>
                <w:color w:val="auto"/>
              </w:rPr>
            </w:pPr>
            <w:r>
              <w:rPr>
                <w:rFonts w:ascii="Times New Roman" w:cs="Times New Roman" w:eastAsia="Times New Roman" w:hAnsi="Times New Roman"/>
                <w:sz w:val="18"/>
                <w:szCs w:val="18"/>
                <w:color w:val="auto"/>
              </w:rPr>
              <w:t>A</w:t>
            </w: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Proxy Statement</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20" w:type="dxa"/>
            <w:vAlign w:val="bottom"/>
            <w:tcBorders>
              <w:top w:val="single" w:sz="8" w:color="0000EE"/>
            </w:tcBorders>
            <w:gridSpan w:val="16"/>
          </w:tcPr>
          <w:p>
            <w:pPr>
              <w:ind w:left="20"/>
              <w:spacing w:after="0" w:line="170"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Non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Employee Directors</w:t>
              </w:r>
            </w:hyperlink>
          </w:p>
        </w:tc>
        <w:tc>
          <w:tcPr>
            <w:tcW w:w="20" w:type="dxa"/>
            <w:vAlign w:val="bottom"/>
          </w:tcPr>
          <w:p>
            <w:pPr>
              <w:spacing w:after="0"/>
              <w:rPr>
                <w:sz w:val="14"/>
                <w:szCs w:val="14"/>
                <w:color w:val="auto"/>
              </w:rPr>
            </w:pPr>
          </w:p>
        </w:tc>
        <w:tc>
          <w:tcPr>
            <w:tcW w:w="3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6"/>
          </w:tcPr>
          <w:p>
            <w:pPr>
              <w:spacing w:after="0"/>
              <w:rPr>
                <w:sz w:val="14"/>
                <w:szCs w:val="14"/>
                <w:color w:val="auto"/>
              </w:rPr>
            </w:pPr>
          </w:p>
        </w:tc>
        <w:tc>
          <w:tcPr>
            <w:tcW w:w="16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April 10, 2008</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*10.9</w:t>
            </w:r>
          </w:p>
        </w:tc>
        <w:tc>
          <w:tcPr>
            <w:tcW w:w="200" w:type="dxa"/>
            <w:vAlign w:val="bottom"/>
          </w:tcPr>
          <w:p>
            <w:pPr>
              <w:spacing w:after="0"/>
              <w:rPr>
                <w:sz w:val="14"/>
                <w:szCs w:val="14"/>
                <w:color w:val="auto"/>
              </w:rPr>
            </w:pPr>
          </w:p>
        </w:tc>
        <w:tc>
          <w:tcPr>
            <w:tcW w:w="1840" w:type="dxa"/>
            <w:vAlign w:val="bottom"/>
            <w:tcBorders>
              <w:top w:val="single" w:sz="8" w:color="0000EE"/>
            </w:tcBorders>
            <w:gridSpan w:val="5"/>
          </w:tcPr>
          <w:p>
            <w:pPr>
              <w:ind w:left="20"/>
              <w:spacing w:after="0" w:line="170" w:lineRule="exact"/>
              <w:rPr>
                <w:rFonts w:ascii="Times New Roman" w:cs="Times New Roman" w:eastAsia="Times New Roman" w:hAnsi="Times New Roman"/>
                <w:sz w:val="18"/>
                <w:szCs w:val="18"/>
                <w:color w:val="0000EE"/>
                <w:w w:val="96"/>
              </w:rPr>
            </w:pPr>
            <w:hyperlink r:id="rId102">
              <w:r>
                <w:rPr>
                  <w:rFonts w:ascii="Times New Roman" w:cs="Times New Roman" w:eastAsia="Times New Roman" w:hAnsi="Times New Roman"/>
                  <w:sz w:val="18"/>
                  <w:szCs w:val="18"/>
                  <w:color w:val="0000EE"/>
                  <w:w w:val="96"/>
                </w:rPr>
                <w:t>2008 Senior Management</w:t>
              </w:r>
            </w:hyperlink>
          </w:p>
        </w:tc>
        <w:tc>
          <w:tcPr>
            <w:tcW w:w="3500" w:type="dxa"/>
            <w:vAlign w:val="bottom"/>
            <w:gridSpan w:val="27"/>
          </w:tcPr>
          <w:p>
            <w:pPr>
              <w:ind w:left="80"/>
              <w:spacing w:after="0" w:line="170"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Annual Performance Plan</w:t>
              </w:r>
            </w:hyperlink>
          </w:p>
        </w:tc>
        <w:tc>
          <w:tcPr>
            <w:tcW w:w="900" w:type="dxa"/>
            <w:vAlign w:val="bottom"/>
            <w:gridSpan w:val="2"/>
          </w:tcPr>
          <w:p>
            <w:pPr>
              <w:jc w:val="right"/>
              <w:ind w:right="180"/>
              <w:spacing w:after="0" w:line="170" w:lineRule="exact"/>
              <w:rPr>
                <w:sz w:val="20"/>
                <w:szCs w:val="20"/>
                <w:color w:val="auto"/>
              </w:rPr>
            </w:pPr>
            <w:r>
              <w:rPr>
                <w:rFonts w:ascii="Times New Roman" w:cs="Times New Roman" w:eastAsia="Times New Roman" w:hAnsi="Times New Roman"/>
                <w:sz w:val="18"/>
                <w:szCs w:val="18"/>
                <w:color w:val="auto"/>
              </w:rPr>
              <w:t>B</w:t>
            </w: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Proxy Statement</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April 10, 2008</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16"/>
                <w:szCs w:val="16"/>
                <w:color w:val="auto"/>
              </w:rPr>
            </w:pPr>
          </w:p>
        </w:tc>
        <w:tc>
          <w:tcPr>
            <w:tcW w:w="53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Change in Control Agreement</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First Quarter 2008</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*10.11</w:t>
            </w:r>
          </w:p>
        </w:tc>
        <w:tc>
          <w:tcPr>
            <w:tcW w:w="200" w:type="dxa"/>
            <w:vAlign w:val="bottom"/>
          </w:tcPr>
          <w:p>
            <w:pPr>
              <w:spacing w:after="0"/>
              <w:rPr>
                <w:sz w:val="16"/>
                <w:szCs w:val="16"/>
                <w:color w:val="auto"/>
              </w:rPr>
            </w:pPr>
          </w:p>
        </w:tc>
        <w:tc>
          <w:tcPr>
            <w:tcW w:w="53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Comfort Systems USA, Inc. Executive Severance Policy</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First Quarter 2008</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6"/>
                <w:szCs w:val="16"/>
                <w:color w:val="auto"/>
              </w:rPr>
            </w:pPr>
          </w:p>
        </w:tc>
        <w:tc>
          <w:tcPr>
            <w:tcW w:w="53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Directors and Officers Indemnification Agreement</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May 19, 2009</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10.13</w:t>
            </w:r>
          </w:p>
        </w:tc>
        <w:tc>
          <w:tcPr>
            <w:tcW w:w="200" w:type="dxa"/>
            <w:vAlign w:val="bottom"/>
          </w:tcPr>
          <w:p>
            <w:pPr>
              <w:spacing w:after="0"/>
              <w:rPr>
                <w:sz w:val="16"/>
                <w:szCs w:val="16"/>
                <w:color w:val="auto"/>
              </w:rPr>
            </w:pPr>
          </w:p>
        </w:tc>
        <w:tc>
          <w:tcPr>
            <w:tcW w:w="53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Second Amended and Restated Credit Agreement by and among</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July 22, 2010</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tcBorders>
              <w:top w:val="single" w:sz="8" w:color="0000EE"/>
              <w:bottom w:val="single" w:sz="8" w:color="0000EE"/>
            </w:tcBorders>
            <w:gridSpan w:val="20"/>
          </w:tcPr>
          <w:p>
            <w:pPr>
              <w:ind w:left="20"/>
              <w:spacing w:after="0" w:line="170"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Comfort Systems USA, Inc., as Borrower and Wells Fargo Bank,</w:t>
              </w:r>
            </w:hyperlink>
          </w:p>
        </w:tc>
        <w:tc>
          <w:tcPr>
            <w:tcW w:w="40" w:type="dxa"/>
            <w:vAlign w:val="bottom"/>
            <w:tcBorders>
              <w:bottom w:val="single" w:sz="8" w:color="0000EE"/>
            </w:tcBorders>
          </w:tcPr>
          <w:p>
            <w:pPr>
              <w:spacing w:after="0"/>
              <w:rPr>
                <w:sz w:val="14"/>
                <w:szCs w:val="14"/>
                <w:color w:val="auto"/>
              </w:rPr>
            </w:pPr>
          </w:p>
        </w:tc>
        <w:tc>
          <w:tcPr>
            <w:tcW w:w="200" w:type="dxa"/>
            <w:vAlign w:val="bottom"/>
            <w:gridSpan w:val="7"/>
          </w:tcPr>
          <w:p>
            <w:pPr>
              <w:spacing w:after="0"/>
              <w:rPr>
                <w:sz w:val="14"/>
                <w:szCs w:val="14"/>
                <w:color w:val="auto"/>
              </w:rPr>
            </w:pPr>
          </w:p>
        </w:tc>
        <w:tc>
          <w:tcPr>
            <w:tcW w:w="16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00" w:type="dxa"/>
            <w:vAlign w:val="bottom"/>
            <w:gridSpan w:val="21"/>
          </w:tcPr>
          <w:p>
            <w:pPr>
              <w:ind w:left="20"/>
              <w:spacing w:after="0" w:line="170"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National Association, as Administrative Agent/Wells Fargo</w:t>
              </w:r>
            </w:hyperlink>
          </w:p>
        </w:tc>
        <w:tc>
          <w:tcPr>
            <w:tcW w:w="200" w:type="dxa"/>
            <w:vAlign w:val="bottom"/>
            <w:gridSpan w:val="7"/>
          </w:tcPr>
          <w:p>
            <w:pPr>
              <w:spacing w:after="0"/>
              <w:rPr>
                <w:sz w:val="14"/>
                <w:szCs w:val="14"/>
                <w:color w:val="auto"/>
              </w:rPr>
            </w:pPr>
          </w:p>
        </w:tc>
        <w:tc>
          <w:tcPr>
            <w:tcW w:w="16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00" w:type="dxa"/>
            <w:vAlign w:val="bottom"/>
            <w:tcBorders>
              <w:top w:val="single" w:sz="8" w:color="0000EE"/>
              <w:bottom w:val="single" w:sz="8" w:color="0000EE"/>
            </w:tcBorders>
            <w:gridSpan w:val="15"/>
          </w:tcPr>
          <w:p>
            <w:pPr>
              <w:ind w:left="20"/>
              <w:spacing w:after="0" w:line="170"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Securities LLC, as Sole Lead Arranger and Sole Lead Book</w:t>
              </w:r>
            </w:hyperlink>
          </w:p>
        </w:tc>
        <w:tc>
          <w:tcPr>
            <w:tcW w:w="40" w:type="dxa"/>
            <w:vAlign w:val="bottom"/>
            <w:tcBorders>
              <w:bottom w:val="single" w:sz="8" w:color="0000EE"/>
            </w:tcBorders>
            <w:gridSpan w:val="2"/>
          </w:tcPr>
          <w:p>
            <w:pPr>
              <w:spacing w:after="0"/>
              <w:rPr>
                <w:sz w:val="14"/>
                <w:szCs w:val="14"/>
                <w:color w:val="auto"/>
              </w:rPr>
            </w:pPr>
          </w:p>
        </w:tc>
        <w:tc>
          <w:tcPr>
            <w:tcW w:w="1000" w:type="dxa"/>
            <w:vAlign w:val="bottom"/>
            <w:gridSpan w:val="15"/>
            <w:vMerge w:val="restart"/>
          </w:tcPr>
          <w:p>
            <w:pPr>
              <w:ind w:left="160"/>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Bank as</w:t>
              </w:r>
            </w:hyperlink>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40" w:type="dxa"/>
            <w:vAlign w:val="bottom"/>
            <w:gridSpan w:val="17"/>
          </w:tcPr>
          <w:p>
            <w:pPr>
              <w:ind w:left="20"/>
              <w:spacing w:after="0" w:line="170" w:lineRule="exact"/>
              <w:rPr>
                <w:rFonts w:ascii="Times New Roman" w:cs="Times New Roman" w:eastAsia="Times New Roman" w:hAnsi="Times New Roman"/>
                <w:sz w:val="18"/>
                <w:szCs w:val="18"/>
                <w:color w:val="0000EE"/>
                <w:w w:val="96"/>
              </w:rPr>
            </w:pPr>
            <w:hyperlink r:id="rId106">
              <w:r>
                <w:rPr>
                  <w:rFonts w:ascii="Times New Roman" w:cs="Times New Roman" w:eastAsia="Times New Roman" w:hAnsi="Times New Roman"/>
                  <w:sz w:val="18"/>
                  <w:szCs w:val="18"/>
                  <w:color w:val="0000EE"/>
                  <w:w w:val="96"/>
                </w:rPr>
                <w:t>Runner/Bank of Texas, N.A., Capital One, N.A., and Regions</w:t>
              </w:r>
            </w:hyperlink>
          </w:p>
        </w:tc>
        <w:tc>
          <w:tcPr>
            <w:tcW w:w="1000" w:type="dxa"/>
            <w:vAlign w:val="bottom"/>
            <w:gridSpan w:val="15"/>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200" w:type="dxa"/>
            <w:vAlign w:val="bottom"/>
          </w:tcPr>
          <w:p>
            <w:pPr>
              <w:spacing w:after="0"/>
              <w:rPr>
                <w:sz w:val="14"/>
                <w:szCs w:val="14"/>
                <w:color w:val="auto"/>
              </w:rPr>
            </w:pPr>
          </w:p>
        </w:tc>
        <w:tc>
          <w:tcPr>
            <w:tcW w:w="5060" w:type="dxa"/>
            <w:vAlign w:val="bottom"/>
            <w:tcBorders>
              <w:top w:val="single" w:sz="8" w:color="0000EE"/>
            </w:tcBorders>
            <w:gridSpan w:val="30"/>
          </w:tcPr>
          <w:p>
            <w:pPr>
              <w:ind w:left="20"/>
              <w:spacing w:after="0" w:line="170"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Syndication Agent/and Certain Financial Institutions as Lenders</w:t>
              </w:r>
            </w:hyperlink>
          </w:p>
        </w:tc>
        <w:tc>
          <w:tcPr>
            <w:tcW w:w="280" w:type="dxa"/>
            <w:vAlign w:val="bottom"/>
            <w:gridSpan w:val="2"/>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30, 2010</w:t>
            </w:r>
          </w:p>
        </w:tc>
        <w:tc>
          <w:tcPr>
            <w:tcW w:w="0" w:type="dxa"/>
            <w:vAlign w:val="bottom"/>
          </w:tcPr>
          <w:p>
            <w:pPr>
              <w:spacing w:after="0"/>
              <w:rPr>
                <w:sz w:val="1"/>
                <w:szCs w:val="1"/>
                <w:color w:val="auto"/>
              </w:rPr>
            </w:pPr>
          </w:p>
        </w:tc>
      </w:tr>
      <w:tr>
        <w:trPr>
          <w:trHeight w:val="169"/>
        </w:trPr>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Borders>
              <w:top w:val="single" w:sz="8" w:color="0000EE"/>
              <w:bottom w:val="single" w:sz="8" w:color="0000EE"/>
            </w:tcBorders>
            <w:gridSpan w:val="10"/>
          </w:tcPr>
          <w:p>
            <w:pPr>
              <w:ind w:left="20"/>
              <w:spacing w:after="0" w:line="170"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Stock Purchase Agreement, dated July 28, 2010</w:t>
              </w:r>
            </w:hyperlink>
          </w:p>
        </w:tc>
        <w:tc>
          <w:tcPr>
            <w:tcW w:w="1440" w:type="dxa"/>
            <w:vAlign w:val="bottom"/>
            <w:tcBorders>
              <w:top w:val="single" w:sz="8" w:color="0000EE"/>
            </w:tcBorders>
            <w:gridSpan w:val="18"/>
          </w:tcPr>
          <w:p>
            <w:pPr>
              <w:spacing w:after="0"/>
              <w:rPr>
                <w:sz w:val="14"/>
                <w:szCs w:val="14"/>
                <w:color w:val="auto"/>
              </w:rPr>
            </w:pPr>
          </w:p>
        </w:tc>
        <w:tc>
          <w:tcPr>
            <w:tcW w:w="440" w:type="dxa"/>
            <w:vAlign w:val="bottom"/>
            <w:gridSpan w:val="4"/>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780" w:type="dxa"/>
            <w:vAlign w:val="bottom"/>
            <w:gridSpan w:val="11"/>
            <w:vMerge w:val="restart"/>
          </w:tcPr>
          <w:p>
            <w:pPr>
              <w:ind w:left="338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824"/>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gridSpan w:val="11"/>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Exhibit Indicated Below</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and to the Filing with the</w:t>
            </w:r>
          </w:p>
        </w:tc>
        <w:tc>
          <w:tcPr>
            <w:tcW w:w="0" w:type="dxa"/>
            <w:vAlign w:val="bottom"/>
          </w:tcPr>
          <w:p>
            <w:pPr>
              <w:spacing w:after="0"/>
              <w:rPr>
                <w:sz w:val="1"/>
                <w:szCs w:val="1"/>
                <w:color w:val="auto"/>
              </w:rPr>
            </w:pPr>
          </w:p>
        </w:tc>
      </w:tr>
      <w:tr>
        <w:trPr>
          <w:trHeight w:val="187"/>
        </w:trPr>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Indicated Below</w:t>
            </w:r>
          </w:p>
        </w:tc>
        <w:tc>
          <w:tcPr>
            <w:tcW w:w="0" w:type="dxa"/>
            <w:vAlign w:val="bottom"/>
          </w:tcPr>
          <w:p>
            <w:pPr>
              <w:spacing w:after="0"/>
              <w:rPr>
                <w:sz w:val="1"/>
                <w:szCs w:val="1"/>
                <w:color w:val="auto"/>
              </w:rPr>
            </w:pPr>
          </w:p>
        </w:tc>
      </w:tr>
      <w:tr>
        <w:trPr>
          <w:trHeight w:val="131"/>
        </w:trPr>
        <w:tc>
          <w:tcPr>
            <w:tcW w:w="10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gridSpan w:val="21"/>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or File Number</w:t>
            </w:r>
          </w:p>
        </w:tc>
        <w:tc>
          <w:tcPr>
            <w:tcW w:w="0" w:type="dxa"/>
            <w:vAlign w:val="bottom"/>
          </w:tcPr>
          <w:p>
            <w:pPr>
              <w:spacing w:after="0"/>
              <w:rPr>
                <w:sz w:val="1"/>
                <w:szCs w:val="1"/>
                <w:color w:val="auto"/>
              </w:rPr>
            </w:pPr>
          </w:p>
        </w:tc>
      </w:tr>
      <w:tr>
        <w:trPr>
          <w:trHeight w:val="156"/>
        </w:trPr>
        <w:tc>
          <w:tcPr>
            <w:tcW w:w="8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3"/>
                <w:szCs w:val="13"/>
                <w:color w:val="auto"/>
              </w:rPr>
            </w:pPr>
          </w:p>
        </w:tc>
        <w:tc>
          <w:tcPr>
            <w:tcW w:w="5160" w:type="dxa"/>
            <w:vAlign w:val="bottom"/>
            <w:tcBorders>
              <w:top w:val="single" w:sz="8" w:color="auto"/>
            </w:tcBorders>
            <w:gridSpan w:val="24"/>
          </w:tcPr>
          <w:p>
            <w:pPr>
              <w:ind w:left="20"/>
              <w:spacing w:after="0" w:line="15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Summary of 2011 Incentive Compensation Plan</w:t>
              </w:r>
            </w:hyperlink>
          </w:p>
        </w:tc>
        <w:tc>
          <w:tcPr>
            <w:tcW w:w="18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3"/>
                <w:szCs w:val="13"/>
                <w:color w:val="auto"/>
              </w:rPr>
            </w:pPr>
          </w:p>
        </w:tc>
        <w:tc>
          <w:tcPr>
            <w:tcW w:w="17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First Quarter 2011</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16"/>
                <w:szCs w:val="16"/>
                <w:color w:val="auto"/>
              </w:rPr>
            </w:pPr>
          </w:p>
        </w:tc>
        <w:tc>
          <w:tcPr>
            <w:tcW w:w="5340" w:type="dxa"/>
            <w:vAlign w:val="bottom"/>
            <w:gridSpan w:val="25"/>
          </w:tcPr>
          <w:p>
            <w:pPr>
              <w:ind w:left="20"/>
              <w:spacing w:after="0" w:line="194"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Performance Restricted Stock Award Agreement dated</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28, 2011</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0" w:type="dxa"/>
            <w:vAlign w:val="bottom"/>
            <w:tcBorders>
              <w:top w:val="single" w:sz="8" w:color="0000EE"/>
            </w:tcBorders>
            <w:gridSpan w:val="18"/>
          </w:tcPr>
          <w:p>
            <w:pPr>
              <w:ind w:left="20"/>
              <w:spacing w:after="0" w:line="170"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March 24, 2011</w:t>
              </w:r>
            </w:hyperlink>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14"/>
                <w:szCs w:val="14"/>
                <w:color w:val="auto"/>
              </w:rPr>
            </w:pPr>
          </w:p>
        </w:tc>
        <w:tc>
          <w:tcPr>
            <w:tcW w:w="1140" w:type="dxa"/>
            <w:vAlign w:val="bottom"/>
            <w:tcBorders>
              <w:top w:val="single" w:sz="8" w:color="0000EE"/>
            </w:tcBorders>
          </w:tcPr>
          <w:p>
            <w:pPr>
              <w:ind w:left="20"/>
              <w:spacing w:after="0" w:line="170" w:lineRule="exact"/>
              <w:rPr>
                <w:rFonts w:ascii="Times New Roman" w:cs="Times New Roman" w:eastAsia="Times New Roman" w:hAnsi="Times New Roman"/>
                <w:sz w:val="18"/>
                <w:szCs w:val="18"/>
                <w:color w:val="0000EE"/>
                <w:w w:val="86"/>
              </w:rPr>
            </w:pPr>
            <w:hyperlink r:id="rId110">
              <w:r>
                <w:rPr>
                  <w:rFonts w:ascii="Times New Roman" w:cs="Times New Roman" w:eastAsia="Times New Roman" w:hAnsi="Times New Roman"/>
                  <w:sz w:val="18"/>
                  <w:szCs w:val="18"/>
                  <w:color w:val="0000EE"/>
                  <w:w w:val="86"/>
                </w:rPr>
                <w:t>First Amendment</w:t>
              </w:r>
            </w:hyperlink>
          </w:p>
        </w:tc>
        <w:tc>
          <w:tcPr>
            <w:tcW w:w="4200" w:type="dxa"/>
            <w:vAlign w:val="bottom"/>
            <w:gridSpan w:val="24"/>
          </w:tcPr>
          <w:p>
            <w:pPr>
              <w:jc w:val="center"/>
              <w:ind w:right="580"/>
              <w:spacing w:after="0" w:line="170"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to Comfort Systems USA, Inc. Amended and</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Second Quarter 2011</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tcBorders>
              <w:top w:val="single" w:sz="8" w:color="0000EE"/>
            </w:tcBorders>
            <w:gridSpan w:val="17"/>
          </w:tcPr>
          <w:p>
            <w:pPr>
              <w:ind w:left="20"/>
              <w:spacing w:after="0" w:line="170"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Restated 2006 Equity Compensation Plan for Non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Employee</w:t>
              </w:r>
            </w:hyperlink>
          </w:p>
        </w:tc>
        <w:tc>
          <w:tcPr>
            <w:tcW w:w="760" w:type="dxa"/>
            <w:vAlign w:val="bottom"/>
            <w:gridSpan w:val="8"/>
          </w:tcPr>
          <w:p>
            <w:pPr>
              <w:spacing w:after="0" w:line="170"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Directors</w:t>
              </w:r>
            </w:hyperlink>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10.18</w:t>
            </w:r>
          </w:p>
        </w:tc>
        <w:tc>
          <w:tcPr>
            <w:tcW w:w="200" w:type="dxa"/>
            <w:vAlign w:val="bottom"/>
          </w:tcPr>
          <w:p>
            <w:pPr>
              <w:spacing w:after="0"/>
              <w:rPr>
                <w:sz w:val="14"/>
                <w:szCs w:val="14"/>
                <w:color w:val="auto"/>
              </w:rPr>
            </w:pPr>
          </w:p>
        </w:tc>
        <w:tc>
          <w:tcPr>
            <w:tcW w:w="4340" w:type="dxa"/>
            <w:vAlign w:val="bottom"/>
            <w:tcBorders>
              <w:top w:val="single" w:sz="8" w:color="0000EE"/>
              <w:bottom w:val="single" w:sz="8" w:color="0000EE"/>
            </w:tcBorders>
            <w:gridSpan w:val="16"/>
          </w:tcPr>
          <w:p>
            <w:pPr>
              <w:ind w:left="20"/>
              <w:spacing w:after="0" w:line="170"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Amendment No. 1 to Second Amended and Restated Credit</w:t>
              </w:r>
            </w:hyperlink>
          </w:p>
        </w:tc>
        <w:tc>
          <w:tcPr>
            <w:tcW w:w="800" w:type="dxa"/>
            <w:vAlign w:val="bottom"/>
            <w:tcBorders>
              <w:top w:val="single" w:sz="8" w:color="0000EE"/>
            </w:tcBorders>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Third Quarter 2011</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gridSpan w:val="25"/>
          </w:tcPr>
          <w:p>
            <w:pPr>
              <w:ind w:left="20"/>
              <w:spacing w:after="0" w:line="170"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Agreement, Second Amended and Restated Security Agreement, and</w:t>
              </w:r>
            </w:hyperlink>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69"/>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14"/>
                <w:szCs w:val="14"/>
                <w:color w:val="auto"/>
              </w:rPr>
            </w:pPr>
          </w:p>
        </w:tc>
        <w:tc>
          <w:tcPr>
            <w:tcW w:w="4980" w:type="dxa"/>
            <w:vAlign w:val="bottom"/>
            <w:tcBorders>
              <w:top w:val="single" w:sz="8" w:color="0000EE"/>
            </w:tcBorders>
            <w:gridSpan w:val="22"/>
          </w:tcPr>
          <w:p>
            <w:pPr>
              <w:ind w:left="20"/>
              <w:spacing w:after="0" w:line="170"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Second Amended and Restated Pledge Agreement</w:t>
              </w:r>
            </w:hyperlink>
          </w:p>
        </w:tc>
        <w:tc>
          <w:tcPr>
            <w:tcW w:w="360" w:type="dxa"/>
            <w:vAlign w:val="bottom"/>
            <w:gridSpan w:val="3"/>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First Quarter 2012</w:t>
            </w:r>
          </w:p>
        </w:tc>
        <w:tc>
          <w:tcPr>
            <w:tcW w:w="0" w:type="dxa"/>
            <w:vAlign w:val="bottom"/>
          </w:tcPr>
          <w:p>
            <w:pPr>
              <w:spacing w:after="0"/>
              <w:rPr>
                <w:sz w:val="1"/>
                <w:szCs w:val="1"/>
                <w:color w:val="auto"/>
              </w:rPr>
            </w:pPr>
          </w:p>
        </w:tc>
      </w:tr>
      <w:tr>
        <w:trPr>
          <w:trHeight w:val="169"/>
        </w:trPr>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Borders>
              <w:top w:val="single" w:sz="8" w:color="0000EE"/>
            </w:tcBorders>
            <w:gridSpan w:val="11"/>
          </w:tcPr>
          <w:p>
            <w:pPr>
              <w:ind w:left="20"/>
              <w:spacing w:after="0" w:line="170"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Summary of 2012 Incentive Compensation Plan</w:t>
              </w:r>
            </w:hyperlink>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16"/>
                <w:szCs w:val="16"/>
                <w:color w:val="auto"/>
              </w:rPr>
            </w:pPr>
          </w:p>
        </w:tc>
        <w:tc>
          <w:tcPr>
            <w:tcW w:w="3440" w:type="dxa"/>
            <w:vAlign w:val="bottom"/>
            <w:tcBorders>
              <w:bottom w:val="single" w:sz="8" w:color="0000EE"/>
            </w:tcBorders>
            <w:gridSpan w:val="8"/>
          </w:tcPr>
          <w:p>
            <w:pPr>
              <w:ind w:left="20"/>
              <w:spacing w:after="0" w:line="194"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Form of 2012 Restricted Stock Unit Agreement</w:t>
              </w:r>
            </w:hyperlink>
          </w:p>
        </w:tc>
        <w:tc>
          <w:tcPr>
            <w:tcW w:w="1900" w:type="dxa"/>
            <w:vAlign w:val="bottom"/>
            <w:gridSpan w:val="17"/>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30, 2012</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gridSpan w:val="25"/>
            <w:vMerge w:val="restart"/>
          </w:tcPr>
          <w:p>
            <w:pPr>
              <w:ind w:left="20"/>
              <w:spacing w:after="0" w:line="207"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2012 Dollar</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denominated Performance Vesting Restricted</w:t>
              </w:r>
            </w:hyperlink>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16"/>
                <w:szCs w:val="16"/>
                <w:color w:val="auto"/>
              </w:rPr>
            </w:pPr>
          </w:p>
        </w:tc>
        <w:tc>
          <w:tcPr>
            <w:tcW w:w="5340" w:type="dxa"/>
            <w:vAlign w:val="bottom"/>
            <w:gridSpan w:val="25"/>
            <w:vMerge w:val="continue"/>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30, 2012</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20" w:type="dxa"/>
            <w:vAlign w:val="bottom"/>
            <w:tcBorders>
              <w:top w:val="single" w:sz="8" w:color="0000EE"/>
            </w:tcBorders>
            <w:gridSpan w:val="19"/>
          </w:tcPr>
          <w:p>
            <w:pPr>
              <w:ind w:left="20"/>
              <w:spacing w:after="0" w:line="170"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Stock Unit Agreement</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14"/>
                <w:szCs w:val="14"/>
                <w:color w:val="auto"/>
              </w:rPr>
            </w:pPr>
          </w:p>
        </w:tc>
        <w:tc>
          <w:tcPr>
            <w:tcW w:w="1620" w:type="dxa"/>
            <w:vAlign w:val="bottom"/>
            <w:tcBorders>
              <w:top w:val="single" w:sz="8" w:color="0000EE"/>
            </w:tcBorders>
            <w:gridSpan w:val="3"/>
          </w:tcPr>
          <w:p>
            <w:pPr>
              <w:ind w:left="20"/>
              <w:spacing w:after="0" w:line="170"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2012 Equity Incentive</w:t>
              </w:r>
            </w:hyperlink>
          </w:p>
        </w:tc>
        <w:tc>
          <w:tcPr>
            <w:tcW w:w="20" w:type="dxa"/>
            <w:vAlign w:val="bottom"/>
          </w:tcPr>
          <w:p>
            <w:pPr>
              <w:spacing w:after="0"/>
              <w:rPr>
                <w:sz w:val="14"/>
                <w:szCs w:val="14"/>
                <w:color w:val="auto"/>
              </w:rPr>
            </w:pPr>
          </w:p>
        </w:tc>
        <w:tc>
          <w:tcPr>
            <w:tcW w:w="3700" w:type="dxa"/>
            <w:vAlign w:val="bottom"/>
            <w:gridSpan w:val="21"/>
          </w:tcPr>
          <w:p>
            <w:pPr>
              <w:ind w:left="20"/>
              <w:spacing w:after="0" w:line="170"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Plan</w:t>
              </w:r>
            </w:hyperlink>
          </w:p>
        </w:tc>
        <w:tc>
          <w:tcPr>
            <w:tcW w:w="900" w:type="dxa"/>
            <w:vAlign w:val="bottom"/>
            <w:gridSpan w:val="2"/>
          </w:tcPr>
          <w:p>
            <w:pPr>
              <w:jc w:val="right"/>
              <w:ind w:right="180"/>
              <w:spacing w:after="0" w:line="170" w:lineRule="exact"/>
              <w:rPr>
                <w:sz w:val="20"/>
                <w:szCs w:val="20"/>
                <w:color w:val="auto"/>
              </w:rPr>
            </w:pPr>
            <w:r>
              <w:rPr>
                <w:rFonts w:ascii="Times New Roman" w:cs="Times New Roman" w:eastAsia="Times New Roman" w:hAnsi="Times New Roman"/>
                <w:sz w:val="18"/>
                <w:szCs w:val="18"/>
                <w:color w:val="auto"/>
              </w:rPr>
              <w:t>A</w:t>
            </w: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April 9, 2012</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Proxy Statement</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*10.23</w:t>
            </w:r>
          </w:p>
        </w:tc>
        <w:tc>
          <w:tcPr>
            <w:tcW w:w="200" w:type="dxa"/>
            <w:vAlign w:val="bottom"/>
          </w:tcPr>
          <w:p>
            <w:pPr>
              <w:spacing w:after="0"/>
              <w:rPr>
                <w:sz w:val="16"/>
                <w:szCs w:val="16"/>
                <w:color w:val="auto"/>
              </w:rPr>
            </w:pPr>
          </w:p>
        </w:tc>
        <w:tc>
          <w:tcPr>
            <w:tcW w:w="5340" w:type="dxa"/>
            <w:vAlign w:val="bottom"/>
            <w:gridSpan w:val="25"/>
          </w:tcPr>
          <w:p>
            <w:pPr>
              <w:ind w:left="20"/>
              <w:spacing w:after="0" w:line="194"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2012 Senior Management Annual Performance Plan</w:t>
              </w:r>
            </w:hyperlink>
          </w:p>
        </w:tc>
        <w:tc>
          <w:tcPr>
            <w:tcW w:w="90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B</w:t>
            </w: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April 9, 2012</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Proxy Statement</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spacing w:after="0"/>
              <w:rPr>
                <w:sz w:val="16"/>
                <w:szCs w:val="16"/>
                <w:color w:val="auto"/>
              </w:rPr>
            </w:pPr>
          </w:p>
        </w:tc>
        <w:tc>
          <w:tcPr>
            <w:tcW w:w="5340" w:type="dxa"/>
            <w:vAlign w:val="bottom"/>
            <w:gridSpan w:val="25"/>
          </w:tcPr>
          <w:p>
            <w:pPr>
              <w:ind w:left="20"/>
              <w:spacing w:after="0" w:line="194"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Summary of 2013 Incentive Compensation Plan</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First Quarter 2013</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*10.25</w:t>
            </w:r>
          </w:p>
        </w:tc>
        <w:tc>
          <w:tcPr>
            <w:tcW w:w="200" w:type="dxa"/>
            <w:vAlign w:val="bottom"/>
          </w:tcPr>
          <w:p>
            <w:pPr>
              <w:spacing w:after="0"/>
              <w:rPr>
                <w:sz w:val="16"/>
                <w:szCs w:val="16"/>
                <w:color w:val="auto"/>
              </w:rPr>
            </w:pPr>
          </w:p>
        </w:tc>
        <w:tc>
          <w:tcPr>
            <w:tcW w:w="3440" w:type="dxa"/>
            <w:vAlign w:val="bottom"/>
            <w:tcBorders>
              <w:bottom w:val="single" w:sz="8" w:color="0000EE"/>
            </w:tcBorders>
            <w:gridSpan w:val="8"/>
          </w:tcPr>
          <w:p>
            <w:pPr>
              <w:ind w:left="20"/>
              <w:spacing w:after="0" w:line="194"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2013 Restricted Stock Unit Agreement</w:t>
              </w:r>
            </w:hyperlink>
          </w:p>
        </w:tc>
        <w:tc>
          <w:tcPr>
            <w:tcW w:w="1900" w:type="dxa"/>
            <w:vAlign w:val="bottom"/>
            <w:gridSpan w:val="17"/>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22, 2013</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gridSpan w:val="25"/>
            <w:vMerge w:val="restart"/>
          </w:tcPr>
          <w:p>
            <w:pPr>
              <w:ind w:left="20"/>
              <w:spacing w:after="0" w:line="207"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2013 Dollar</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denominated Performance Vesting Restricted</w:t>
              </w:r>
            </w:hyperlink>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*10.26</w:t>
            </w:r>
          </w:p>
        </w:tc>
        <w:tc>
          <w:tcPr>
            <w:tcW w:w="200" w:type="dxa"/>
            <w:vAlign w:val="bottom"/>
          </w:tcPr>
          <w:p>
            <w:pPr>
              <w:spacing w:after="0"/>
              <w:rPr>
                <w:sz w:val="16"/>
                <w:szCs w:val="16"/>
                <w:color w:val="auto"/>
              </w:rPr>
            </w:pPr>
          </w:p>
        </w:tc>
        <w:tc>
          <w:tcPr>
            <w:tcW w:w="5340" w:type="dxa"/>
            <w:vAlign w:val="bottom"/>
            <w:gridSpan w:val="25"/>
            <w:vMerge w:val="continue"/>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22, 2013</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20" w:type="dxa"/>
            <w:vAlign w:val="bottom"/>
            <w:tcBorders>
              <w:top w:val="single" w:sz="8" w:color="0000EE"/>
            </w:tcBorders>
            <w:gridSpan w:val="19"/>
          </w:tcPr>
          <w:p>
            <w:pPr>
              <w:ind w:left="20"/>
              <w:spacing w:after="0" w:line="170"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Stock Unit Agreement</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10.27</w:t>
            </w:r>
          </w:p>
        </w:tc>
        <w:tc>
          <w:tcPr>
            <w:tcW w:w="200" w:type="dxa"/>
            <w:vAlign w:val="bottom"/>
          </w:tcPr>
          <w:p>
            <w:pPr>
              <w:spacing w:after="0"/>
              <w:rPr>
                <w:sz w:val="14"/>
                <w:szCs w:val="14"/>
                <w:color w:val="auto"/>
              </w:rPr>
            </w:pPr>
          </w:p>
        </w:tc>
        <w:tc>
          <w:tcPr>
            <w:tcW w:w="1640" w:type="dxa"/>
            <w:vAlign w:val="bottom"/>
            <w:tcBorders>
              <w:top w:val="single" w:sz="8" w:color="0000EE"/>
            </w:tcBorders>
            <w:gridSpan w:val="4"/>
          </w:tcPr>
          <w:p>
            <w:pPr>
              <w:ind w:left="20"/>
              <w:spacing w:after="0" w:line="170"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Amendment No. 2 to</w:t>
              </w:r>
            </w:hyperlink>
          </w:p>
        </w:tc>
        <w:tc>
          <w:tcPr>
            <w:tcW w:w="3700" w:type="dxa"/>
            <w:vAlign w:val="bottom"/>
            <w:gridSpan w:val="21"/>
          </w:tcPr>
          <w:p>
            <w:pPr>
              <w:jc w:val="center"/>
              <w:ind w:right="1020"/>
              <w:spacing w:after="0" w:line="170" w:lineRule="exact"/>
              <w:rPr>
                <w:rFonts w:ascii="Times New Roman" w:cs="Times New Roman" w:eastAsia="Times New Roman" w:hAnsi="Times New Roman"/>
                <w:sz w:val="18"/>
                <w:szCs w:val="18"/>
                <w:color w:val="0000EE"/>
                <w:w w:val="97"/>
              </w:rPr>
            </w:pPr>
            <w:hyperlink r:id="rId119">
              <w:r>
                <w:rPr>
                  <w:rFonts w:ascii="Times New Roman" w:cs="Times New Roman" w:eastAsia="Times New Roman" w:hAnsi="Times New Roman"/>
                  <w:sz w:val="18"/>
                  <w:szCs w:val="18"/>
                  <w:color w:val="0000EE"/>
                  <w:w w:val="97"/>
                </w:rPr>
                <w:t>Second Amended and Restated Credit</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Second Quarter 2013</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20" w:type="dxa"/>
            <w:vAlign w:val="bottom"/>
            <w:tcBorders>
              <w:top w:val="single" w:sz="8" w:color="0000EE"/>
            </w:tcBorders>
            <w:gridSpan w:val="15"/>
          </w:tcPr>
          <w:p>
            <w:pPr>
              <w:ind w:left="20"/>
              <w:spacing w:after="0" w:line="170"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Agreement and Amendment to Other Loan Documents</w:t>
              </w:r>
            </w:hyperlink>
          </w:p>
        </w:tc>
        <w:tc>
          <w:tcPr>
            <w:tcW w:w="540" w:type="dxa"/>
            <w:vAlign w:val="bottom"/>
            <w:gridSpan w:val="5"/>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20"/>
        </w:trPr>
        <w:tc>
          <w:tcPr>
            <w:tcW w:w="86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20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180" w:type="dxa"/>
            <w:vAlign w:val="bottom"/>
          </w:tcPr>
          <w:p>
            <w:pPr>
              <w:spacing w:after="0" w:line="20" w:lineRule="exact"/>
              <w:rPr>
                <w:sz w:val="1"/>
                <w:szCs w:val="1"/>
                <w:color w:val="auto"/>
              </w:rPr>
            </w:pPr>
          </w:p>
        </w:tc>
        <w:tc>
          <w:tcPr>
            <w:tcW w:w="176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2013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line="20" w:lineRule="exact"/>
              <w:rPr>
                <w:sz w:val="1"/>
                <w:szCs w:val="1"/>
                <w:color w:val="auto"/>
              </w:rPr>
            </w:pPr>
          </w:p>
        </w:tc>
      </w:tr>
      <w:tr>
        <w:trPr>
          <w:trHeight w:val="169"/>
        </w:trPr>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gridSpan w:val="25"/>
          </w:tcPr>
          <w:p>
            <w:pPr>
              <w:ind w:left="20"/>
              <w:spacing w:after="0" w:line="170"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Letter Agreement between the Company and James Mylett</w:t>
              </w:r>
            </w:hyperlink>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*10.29</w:t>
            </w:r>
          </w:p>
        </w:tc>
        <w:tc>
          <w:tcPr>
            <w:tcW w:w="200" w:type="dxa"/>
            <w:vAlign w:val="bottom"/>
          </w:tcPr>
          <w:p>
            <w:pPr>
              <w:spacing w:after="0"/>
              <w:rPr>
                <w:sz w:val="14"/>
                <w:szCs w:val="14"/>
                <w:color w:val="auto"/>
              </w:rPr>
            </w:pPr>
          </w:p>
        </w:tc>
        <w:tc>
          <w:tcPr>
            <w:tcW w:w="3340" w:type="dxa"/>
            <w:vAlign w:val="bottom"/>
            <w:tcBorders>
              <w:top w:val="single" w:sz="8" w:color="0000EE"/>
              <w:bottom w:val="single" w:sz="8" w:color="0000EE"/>
            </w:tcBorders>
            <w:gridSpan w:val="7"/>
          </w:tcPr>
          <w:p>
            <w:pPr>
              <w:ind w:left="20"/>
              <w:spacing w:after="0" w:line="170"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Form of Change in Control Agreement (2013)</w:t>
              </w:r>
            </w:hyperlink>
          </w:p>
        </w:tc>
        <w:tc>
          <w:tcPr>
            <w:tcW w:w="920" w:type="dxa"/>
            <w:vAlign w:val="bottom"/>
            <w:tcBorders>
              <w:top w:val="single" w:sz="8" w:color="0000EE"/>
            </w:tcBorders>
            <w:gridSpan w:val="7"/>
          </w:tcPr>
          <w:p>
            <w:pPr>
              <w:spacing w:after="0"/>
              <w:rPr>
                <w:sz w:val="14"/>
                <w:szCs w:val="14"/>
                <w:color w:val="auto"/>
              </w:rPr>
            </w:pPr>
          </w:p>
        </w:tc>
        <w:tc>
          <w:tcPr>
            <w:tcW w:w="600" w:type="dxa"/>
            <w:vAlign w:val="bottom"/>
            <w:gridSpan w:val="6"/>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10.29</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2013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*10.30</w:t>
            </w:r>
          </w:p>
        </w:tc>
        <w:tc>
          <w:tcPr>
            <w:tcW w:w="200" w:type="dxa"/>
            <w:vAlign w:val="bottom"/>
          </w:tcPr>
          <w:p>
            <w:pPr>
              <w:spacing w:after="0"/>
              <w:rPr>
                <w:sz w:val="14"/>
                <w:szCs w:val="14"/>
                <w:color w:val="auto"/>
              </w:rPr>
            </w:pPr>
          </w:p>
        </w:tc>
        <w:tc>
          <w:tcPr>
            <w:tcW w:w="5340" w:type="dxa"/>
            <w:vAlign w:val="bottom"/>
            <w:gridSpan w:val="25"/>
          </w:tcPr>
          <w:p>
            <w:pPr>
              <w:ind w:left="20"/>
              <w:spacing w:after="0" w:line="170"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Summary of 2014 Incentive Compensation Plan</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First Quarter 2014</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6"/>
                <w:szCs w:val="16"/>
                <w:color w:val="auto"/>
              </w:rPr>
            </w:pPr>
          </w:p>
        </w:tc>
        <w:tc>
          <w:tcPr>
            <w:tcW w:w="3440" w:type="dxa"/>
            <w:vAlign w:val="bottom"/>
            <w:tcBorders>
              <w:bottom w:val="single" w:sz="8" w:color="0000EE"/>
            </w:tcBorders>
            <w:gridSpan w:val="8"/>
          </w:tcPr>
          <w:p>
            <w:pPr>
              <w:ind w:left="20"/>
              <w:spacing w:after="0" w:line="194"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2014 Restricted Stock Unit Agreement</w:t>
              </w:r>
            </w:hyperlink>
          </w:p>
        </w:tc>
        <w:tc>
          <w:tcPr>
            <w:tcW w:w="1900" w:type="dxa"/>
            <w:vAlign w:val="bottom"/>
            <w:gridSpan w:val="17"/>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21, 2014</w:t>
            </w: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gridSpan w:val="25"/>
            <w:vMerge w:val="restart"/>
          </w:tcPr>
          <w:p>
            <w:pPr>
              <w:ind w:left="20"/>
              <w:spacing w:after="0" w:line="207"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2014 Dollar</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denominated Performance Vesting Restricted</w:t>
              </w:r>
            </w:hyperlink>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16"/>
                <w:szCs w:val="16"/>
                <w:color w:val="auto"/>
              </w:rPr>
            </w:pPr>
          </w:p>
        </w:tc>
        <w:tc>
          <w:tcPr>
            <w:tcW w:w="5340" w:type="dxa"/>
            <w:vAlign w:val="bottom"/>
            <w:gridSpan w:val="25"/>
            <w:vMerge w:val="continue"/>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21, 2014</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20" w:type="dxa"/>
            <w:vAlign w:val="bottom"/>
            <w:tcBorders>
              <w:top w:val="single" w:sz="8" w:color="0000EE"/>
            </w:tcBorders>
            <w:gridSpan w:val="19"/>
          </w:tcPr>
          <w:p>
            <w:pPr>
              <w:ind w:left="20"/>
              <w:spacing w:after="0" w:line="170"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Stock Unit Agreement</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*10.33</w:t>
            </w:r>
          </w:p>
        </w:tc>
        <w:tc>
          <w:tcPr>
            <w:tcW w:w="200" w:type="dxa"/>
            <w:vAlign w:val="bottom"/>
          </w:tcPr>
          <w:p>
            <w:pPr>
              <w:spacing w:after="0"/>
              <w:rPr>
                <w:sz w:val="14"/>
                <w:szCs w:val="14"/>
                <w:color w:val="auto"/>
              </w:rPr>
            </w:pPr>
          </w:p>
        </w:tc>
        <w:tc>
          <w:tcPr>
            <w:tcW w:w="1640" w:type="dxa"/>
            <w:vAlign w:val="bottom"/>
            <w:tcBorders>
              <w:top w:val="single" w:sz="8" w:color="0000EE"/>
            </w:tcBorders>
            <w:gridSpan w:val="4"/>
          </w:tcPr>
          <w:p>
            <w:pPr>
              <w:ind w:left="20"/>
              <w:spacing w:after="0" w:line="170" w:lineRule="exact"/>
              <w:rPr>
                <w:rFonts w:ascii="Times New Roman" w:cs="Times New Roman" w:eastAsia="Times New Roman" w:hAnsi="Times New Roman"/>
                <w:sz w:val="18"/>
                <w:szCs w:val="18"/>
                <w:color w:val="0000EE"/>
                <w:w w:val="96"/>
              </w:rPr>
            </w:pPr>
            <w:hyperlink r:id="rId125">
              <w:r>
                <w:rPr>
                  <w:rFonts w:ascii="Times New Roman" w:cs="Times New Roman" w:eastAsia="Times New Roman" w:hAnsi="Times New Roman"/>
                  <w:sz w:val="18"/>
                  <w:szCs w:val="18"/>
                  <w:color w:val="0000EE"/>
                  <w:w w:val="96"/>
                </w:rPr>
                <w:t>Form of Option Award</w:t>
              </w:r>
            </w:hyperlink>
          </w:p>
        </w:tc>
        <w:tc>
          <w:tcPr>
            <w:tcW w:w="3700" w:type="dxa"/>
            <w:vAlign w:val="bottom"/>
            <w:gridSpan w:val="21"/>
          </w:tcPr>
          <w:p>
            <w:pPr>
              <w:ind w:left="60"/>
              <w:spacing w:after="0" w:line="170"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under the Comfort Systems USA, Inc. 2012</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10.33</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2014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60" w:type="dxa"/>
            <w:vAlign w:val="bottom"/>
            <w:tcBorders>
              <w:top w:val="single" w:sz="8" w:color="0000EE"/>
            </w:tcBorders>
            <w:gridSpan w:val="20"/>
          </w:tcPr>
          <w:p>
            <w:pPr>
              <w:ind w:left="20"/>
              <w:spacing w:after="0" w:line="170"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Equity Incentive Plan</w:t>
              </w:r>
            </w:hyperlink>
          </w:p>
        </w:tc>
        <w:tc>
          <w:tcPr>
            <w:tcW w:w="10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10.34</w:t>
            </w:r>
          </w:p>
        </w:tc>
        <w:tc>
          <w:tcPr>
            <w:tcW w:w="200" w:type="dxa"/>
            <w:vAlign w:val="bottom"/>
          </w:tcPr>
          <w:p>
            <w:pPr>
              <w:spacing w:after="0"/>
              <w:rPr>
                <w:sz w:val="14"/>
                <w:szCs w:val="14"/>
                <w:color w:val="auto"/>
              </w:rPr>
            </w:pPr>
          </w:p>
        </w:tc>
        <w:tc>
          <w:tcPr>
            <w:tcW w:w="1560" w:type="dxa"/>
            <w:vAlign w:val="bottom"/>
            <w:tcBorders>
              <w:top w:val="single" w:sz="8" w:color="0000EE"/>
            </w:tcBorders>
            <w:gridSpan w:val="2"/>
          </w:tcPr>
          <w:p>
            <w:pPr>
              <w:ind w:left="20"/>
              <w:spacing w:after="0" w:line="170"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Amendment No. 3 to</w:t>
              </w:r>
            </w:hyperlink>
          </w:p>
        </w:tc>
        <w:tc>
          <w:tcPr>
            <w:tcW w:w="3780" w:type="dxa"/>
            <w:vAlign w:val="bottom"/>
            <w:gridSpan w:val="23"/>
          </w:tcPr>
          <w:p>
            <w:pPr>
              <w:jc w:val="center"/>
              <w:ind w:right="1000"/>
              <w:spacing w:after="0" w:line="170"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Second Amended and Restated Credit</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Third Quarter 2014</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20" w:type="dxa"/>
            <w:vAlign w:val="bottom"/>
            <w:tcBorders>
              <w:top w:val="single" w:sz="8" w:color="0000EE"/>
            </w:tcBorders>
            <w:gridSpan w:val="15"/>
          </w:tcPr>
          <w:p>
            <w:pPr>
              <w:ind w:left="20"/>
              <w:spacing w:after="0" w:line="170"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Agreement and Amendment to Other Loan Documents</w:t>
              </w:r>
            </w:hyperlink>
          </w:p>
        </w:tc>
        <w:tc>
          <w:tcPr>
            <w:tcW w:w="640" w:type="dxa"/>
            <w:vAlign w:val="bottom"/>
            <w:gridSpan w:val="6"/>
          </w:tcPr>
          <w:p>
            <w:pPr>
              <w:spacing w:after="0"/>
              <w:rPr>
                <w:sz w:val="14"/>
                <w:szCs w:val="14"/>
                <w:color w:val="auto"/>
              </w:rPr>
            </w:pPr>
          </w:p>
        </w:tc>
        <w:tc>
          <w:tcPr>
            <w:tcW w:w="38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69"/>
        </w:trPr>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10.35</w:t>
            </w:r>
          </w:p>
        </w:tc>
        <w:tc>
          <w:tcPr>
            <w:tcW w:w="200" w:type="dxa"/>
            <w:vAlign w:val="bottom"/>
          </w:tcPr>
          <w:p>
            <w:pPr>
              <w:spacing w:after="0"/>
              <w:rPr>
                <w:sz w:val="14"/>
                <w:szCs w:val="14"/>
                <w:color w:val="auto"/>
              </w:rPr>
            </w:pPr>
          </w:p>
        </w:tc>
        <w:tc>
          <w:tcPr>
            <w:tcW w:w="3960" w:type="dxa"/>
            <w:vAlign w:val="bottom"/>
            <w:tcBorders>
              <w:top w:val="single" w:sz="8" w:color="0000EE"/>
            </w:tcBorders>
            <w:gridSpan w:val="13"/>
          </w:tcPr>
          <w:p>
            <w:pPr>
              <w:ind w:left="20"/>
              <w:spacing w:after="0" w:line="170"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Agreement and Plan of Merger between the Company</w:t>
              </w:r>
            </w:hyperlink>
          </w:p>
        </w:tc>
        <w:tc>
          <w:tcPr>
            <w:tcW w:w="1380" w:type="dxa"/>
            <w:vAlign w:val="bottom"/>
            <w:gridSpan w:val="12"/>
          </w:tcPr>
          <w:p>
            <w:pPr>
              <w:spacing w:after="0" w:line="170"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and Dyna Ten</w:t>
              </w:r>
            </w:hyperlink>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April 9, 2014</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60" w:type="dxa"/>
            <w:vAlign w:val="bottom"/>
            <w:tcBorders>
              <w:top w:val="single" w:sz="8" w:color="0000EE"/>
            </w:tcBorders>
            <w:gridSpan w:val="21"/>
          </w:tcPr>
          <w:p>
            <w:pPr>
              <w:ind w:left="20"/>
              <w:spacing w:after="0" w:line="170"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Corporation, dated April 9, 2014</w:t>
              </w:r>
            </w:hyperlink>
          </w:p>
        </w:tc>
        <w:tc>
          <w:tcPr>
            <w:tcW w:w="38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20"/>
        </w:trPr>
        <w:tc>
          <w:tcPr>
            <w:tcW w:w="86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*10.36</w:t>
            </w:r>
          </w:p>
        </w:tc>
        <w:tc>
          <w:tcPr>
            <w:tcW w:w="20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980" w:type="dxa"/>
            <w:vAlign w:val="bottom"/>
            <w:gridSpan w:val="19"/>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line="20" w:lineRule="exact"/>
              <w:rPr>
                <w:sz w:val="1"/>
                <w:szCs w:val="1"/>
                <w:color w:val="auto"/>
              </w:rPr>
            </w:pPr>
          </w:p>
        </w:tc>
        <w:tc>
          <w:tcPr>
            <w:tcW w:w="176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April 1, 2015</w:t>
            </w:r>
          </w:p>
        </w:tc>
        <w:tc>
          <w:tcPr>
            <w:tcW w:w="0" w:type="dxa"/>
            <w:vAlign w:val="bottom"/>
          </w:tcPr>
          <w:p>
            <w:pPr>
              <w:spacing w:after="0" w:line="20" w:lineRule="exact"/>
              <w:rPr>
                <w:sz w:val="1"/>
                <w:szCs w:val="1"/>
                <w:color w:val="auto"/>
              </w:rPr>
            </w:pPr>
          </w:p>
        </w:tc>
      </w:tr>
      <w:tr>
        <w:trPr>
          <w:trHeight w:val="169"/>
        </w:trPr>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tcBorders>
              <w:bottom w:val="single" w:sz="8" w:color="0000EE"/>
            </w:tcBorders>
            <w:gridSpan w:val="8"/>
          </w:tcPr>
          <w:p>
            <w:pPr>
              <w:ind w:left="20"/>
              <w:spacing w:after="0" w:line="170"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Form of 2015 Restricted Stock Unit Agreement</w:t>
              </w:r>
            </w:hyperlink>
          </w:p>
        </w:tc>
        <w:tc>
          <w:tcPr>
            <w:tcW w:w="1900" w:type="dxa"/>
            <w:vAlign w:val="bottom"/>
            <w:gridSpan w:val="17"/>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40" w:type="dxa"/>
            <w:vAlign w:val="bottom"/>
            <w:gridSpan w:val="11"/>
            <w:vMerge w:val="restart"/>
          </w:tcPr>
          <w:p>
            <w:pPr>
              <w:ind w:left="338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824"/>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11"/>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 Exhibit Indicated Below</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to the Filing with the</w:t>
            </w:r>
          </w:p>
        </w:tc>
        <w:tc>
          <w:tcPr>
            <w:tcW w:w="0" w:type="dxa"/>
            <w:vAlign w:val="bottom"/>
          </w:tcPr>
          <w:p>
            <w:pPr>
              <w:spacing w:after="0"/>
              <w:rPr>
                <w:sz w:val="1"/>
                <w:szCs w:val="1"/>
                <w:color w:val="auto"/>
              </w:rPr>
            </w:pPr>
          </w:p>
        </w:tc>
      </w:tr>
      <w:tr>
        <w:trPr>
          <w:trHeight w:val="173"/>
        </w:trPr>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Indicated Below</w:t>
            </w: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0" w:type="dxa"/>
            <w:vAlign w:val="bottom"/>
            <w:gridSpan w:val="29"/>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or File Number</w:t>
            </w:r>
          </w:p>
        </w:tc>
        <w:tc>
          <w:tcPr>
            <w:tcW w:w="0" w:type="dxa"/>
            <w:vAlign w:val="bottom"/>
          </w:tcPr>
          <w:p>
            <w:pPr>
              <w:spacing w:after="0"/>
              <w:rPr>
                <w:sz w:val="1"/>
                <w:szCs w:val="1"/>
                <w:color w:val="auto"/>
              </w:rPr>
            </w:pPr>
          </w:p>
        </w:tc>
      </w:tr>
      <w:tr>
        <w:trPr>
          <w:trHeight w:val="173"/>
        </w:trPr>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29"/>
            <w:vMerge w:val="continue"/>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14"/>
                <w:szCs w:val="14"/>
                <w:color w:val="auto"/>
              </w:rPr>
            </w:pPr>
          </w:p>
        </w:tc>
        <w:tc>
          <w:tcPr>
            <w:tcW w:w="4840" w:type="dxa"/>
            <w:vAlign w:val="bottom"/>
            <w:tcBorders>
              <w:top w:val="single" w:sz="8" w:color="auto"/>
              <w:bottom w:val="single" w:sz="8" w:color="0000EE"/>
            </w:tcBorders>
            <w:gridSpan w:val="24"/>
          </w:tcPr>
          <w:p>
            <w:pPr>
              <w:ind w:left="20"/>
              <w:spacing w:after="0" w:line="170"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2015 Dollar</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denominated Performance Vesting Restricted</w:t>
              </w:r>
            </w:hyperlink>
          </w:p>
        </w:tc>
        <w:tc>
          <w:tcPr>
            <w:tcW w:w="300" w:type="dxa"/>
            <w:vAlign w:val="bottom"/>
            <w:tcBorders>
              <w:top w:val="single" w:sz="8" w:color="auto"/>
            </w:tcBorders>
            <w:gridSpan w:val="8"/>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4"/>
                <w:szCs w:val="14"/>
                <w:color w:val="auto"/>
              </w:rPr>
            </w:pPr>
          </w:p>
        </w:tc>
        <w:tc>
          <w:tcPr>
            <w:tcW w:w="176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April 1, 2015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Stock Unit Agreement</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Summary of 2015 Incentive Compensation Plan</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*10.39</w:t>
            </w:r>
          </w:p>
        </w:tc>
        <w:tc>
          <w:tcPr>
            <w:tcW w:w="200" w:type="dxa"/>
            <w:vAlign w:val="bottom"/>
          </w:tcPr>
          <w:p>
            <w:pPr>
              <w:spacing w:after="0"/>
              <w:rPr>
                <w:sz w:val="16"/>
                <w:szCs w:val="16"/>
                <w:color w:val="auto"/>
              </w:rPr>
            </w:pPr>
          </w:p>
        </w:tc>
        <w:tc>
          <w:tcPr>
            <w:tcW w:w="5340" w:type="dxa"/>
            <w:vAlign w:val="bottom"/>
            <w:gridSpan w:val="33"/>
          </w:tcPr>
          <w:p>
            <w:pPr>
              <w:ind w:left="20"/>
              <w:spacing w:after="0" w:line="194"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Amended Change in Control Agreement</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Third Quarter 2015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10.40</w:t>
            </w:r>
          </w:p>
        </w:tc>
        <w:tc>
          <w:tcPr>
            <w:tcW w:w="200" w:type="dxa"/>
            <w:vAlign w:val="bottom"/>
          </w:tcPr>
          <w:p>
            <w:pPr>
              <w:spacing w:after="0"/>
              <w:rPr>
                <w:sz w:val="16"/>
                <w:szCs w:val="16"/>
                <w:color w:val="auto"/>
              </w:rPr>
            </w:pPr>
          </w:p>
        </w:tc>
        <w:tc>
          <w:tcPr>
            <w:tcW w:w="4320" w:type="dxa"/>
            <w:vAlign w:val="bottom"/>
            <w:tcBorders>
              <w:bottom w:val="single" w:sz="8" w:color="0000EE"/>
            </w:tcBorders>
            <w:gridSpan w:val="19"/>
          </w:tcPr>
          <w:p>
            <w:pPr>
              <w:ind w:left="20"/>
              <w:spacing w:after="0" w:line="194"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Amendment No. 4 to Second Amended and Restated Credit</w:t>
              </w:r>
            </w:hyperlink>
          </w:p>
        </w:tc>
        <w:tc>
          <w:tcPr>
            <w:tcW w:w="1020" w:type="dxa"/>
            <w:vAlign w:val="bottom"/>
            <w:gridSpan w:val="14"/>
          </w:tcPr>
          <w:p>
            <w:pPr>
              <w:spacing w:after="0"/>
              <w:rPr>
                <w:sz w:val="16"/>
                <w:szCs w:val="16"/>
                <w:color w:val="auto"/>
              </w:rPr>
            </w:pPr>
          </w:p>
        </w:tc>
        <w:tc>
          <w:tcPr>
            <w:tcW w:w="90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10.40</w:t>
            </w: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2015 Form 10-K</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Agreement and Amendment to Other Loan Documents</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17"/>
                <w:szCs w:val="17"/>
                <w:color w:val="auto"/>
              </w:rPr>
            </w:pPr>
          </w:p>
        </w:tc>
        <w:tc>
          <w:tcPr>
            <w:tcW w:w="3960" w:type="dxa"/>
            <w:vAlign w:val="bottom"/>
            <w:tcBorders>
              <w:top w:val="single" w:sz="8" w:color="0000EE"/>
            </w:tcBorders>
            <w:gridSpan w:val="18"/>
          </w:tcPr>
          <w:p>
            <w:pPr>
              <w:ind w:left="20"/>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2016 Restricted Stock Unit Agreement</w:t>
              </w:r>
            </w:hyperlink>
          </w:p>
        </w:tc>
        <w:tc>
          <w:tcPr>
            <w:tcW w:w="1380" w:type="dxa"/>
            <w:vAlign w:val="bottom"/>
            <w:gridSpan w:val="15"/>
          </w:tcPr>
          <w:p>
            <w:pPr>
              <w:spacing w:after="0"/>
              <w:rPr>
                <w:sz w:val="17"/>
                <w:szCs w:val="17"/>
                <w:color w:val="auto"/>
              </w:rPr>
            </w:pPr>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25, 2016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6"/>
                <w:szCs w:val="16"/>
                <w:color w:val="auto"/>
              </w:rPr>
            </w:pPr>
          </w:p>
        </w:tc>
        <w:tc>
          <w:tcPr>
            <w:tcW w:w="5060" w:type="dxa"/>
            <w:vAlign w:val="bottom"/>
            <w:tcBorders>
              <w:bottom w:val="single" w:sz="8" w:color="0000EE"/>
            </w:tcBorders>
            <w:gridSpan w:val="29"/>
          </w:tcPr>
          <w:p>
            <w:pPr>
              <w:ind w:left="20"/>
              <w:spacing w:after="0" w:line="194"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2016 Dollar-denominated Performance Restricted Stock Unit</w:t>
              </w:r>
            </w:hyperlink>
          </w:p>
        </w:tc>
        <w:tc>
          <w:tcPr>
            <w:tcW w:w="280" w:type="dxa"/>
            <w:vAlign w:val="bottom"/>
            <w:gridSpan w:val="4"/>
          </w:tcPr>
          <w:p>
            <w:pPr>
              <w:spacing w:after="0"/>
              <w:rPr>
                <w:sz w:val="16"/>
                <w:szCs w:val="16"/>
                <w:color w:val="auto"/>
              </w:rPr>
            </w:pPr>
          </w:p>
        </w:tc>
        <w:tc>
          <w:tcPr>
            <w:tcW w:w="90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25, 2016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Agreement</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2016 Stock Option Notice</w:t>
              </w:r>
            </w:hyperlink>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25, 2016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*10.44</w:t>
            </w:r>
          </w:p>
        </w:tc>
        <w:tc>
          <w:tcPr>
            <w:tcW w:w="200" w:type="dxa"/>
            <w:vAlign w:val="bottom"/>
          </w:tcPr>
          <w:p>
            <w:pPr>
              <w:spacing w:after="0"/>
              <w:rPr>
                <w:sz w:val="16"/>
                <w:szCs w:val="16"/>
                <w:color w:val="auto"/>
              </w:rPr>
            </w:pPr>
          </w:p>
        </w:tc>
        <w:tc>
          <w:tcPr>
            <w:tcW w:w="4900" w:type="dxa"/>
            <w:vAlign w:val="bottom"/>
            <w:tcBorders>
              <w:bottom w:val="single" w:sz="8" w:color="0000EE"/>
            </w:tcBorders>
            <w:gridSpan w:val="25"/>
          </w:tcPr>
          <w:p>
            <w:pPr>
              <w:ind w:left="20"/>
              <w:spacing w:after="0" w:line="194"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Resignation and General Release Agreement between the Company</w:t>
              </w:r>
            </w:hyperlink>
          </w:p>
        </w:tc>
        <w:tc>
          <w:tcPr>
            <w:tcW w:w="440" w:type="dxa"/>
            <w:vAlign w:val="bottom"/>
            <w:gridSpan w:val="8"/>
          </w:tcPr>
          <w:p>
            <w:pPr>
              <w:spacing w:after="0"/>
              <w:rPr>
                <w:sz w:val="16"/>
                <w:szCs w:val="16"/>
                <w:color w:val="auto"/>
              </w:rPr>
            </w:pPr>
          </w:p>
        </w:tc>
        <w:tc>
          <w:tcPr>
            <w:tcW w:w="90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January 11, 2017</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and James Mylett, dated as of January 10, 2017</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10.45</w:t>
            </w:r>
          </w:p>
        </w:tc>
        <w:tc>
          <w:tcPr>
            <w:tcW w:w="200" w:type="dxa"/>
            <w:vAlign w:val="bottom"/>
          </w:tcPr>
          <w:p>
            <w:pPr>
              <w:spacing w:after="0"/>
              <w:rPr>
                <w:sz w:val="17"/>
                <w:szCs w:val="17"/>
                <w:color w:val="auto"/>
              </w:rPr>
            </w:pPr>
          </w:p>
        </w:tc>
        <w:tc>
          <w:tcPr>
            <w:tcW w:w="4920" w:type="dxa"/>
            <w:vAlign w:val="bottom"/>
            <w:tcBorders>
              <w:bottom w:val="single" w:sz="8" w:color="0000EE"/>
            </w:tcBorders>
            <w:gridSpan w:val="26"/>
          </w:tcPr>
          <w:p>
            <w:pPr>
              <w:ind w:left="20"/>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Stock Purchase Agreement, dated February 21, 2017, by and among</w:t>
              </w:r>
            </w:hyperlink>
          </w:p>
        </w:tc>
        <w:tc>
          <w:tcPr>
            <w:tcW w:w="420" w:type="dxa"/>
            <w:vAlign w:val="bottom"/>
            <w:gridSpan w:val="7"/>
          </w:tcPr>
          <w:p>
            <w:pPr>
              <w:spacing w:after="0"/>
              <w:rPr>
                <w:sz w:val="17"/>
                <w:szCs w:val="17"/>
                <w:color w:val="auto"/>
              </w:rPr>
            </w:pPr>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February 23, 2017</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the Company, BCH, the Selling Shareholders and Daryl Blume, in his</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capacity as representative of the Selling Shareholders</w:t>
              </w:r>
            </w:hyperlink>
          </w:p>
        </w:tc>
        <w:tc>
          <w:tcPr>
            <w:tcW w:w="1180" w:type="dxa"/>
            <w:vAlign w:val="bottom"/>
            <w:tcBorders>
              <w:top w:val="single" w:sz="8" w:color="0000EE"/>
            </w:tcBorders>
            <w:gridSpan w:val="11"/>
          </w:tcPr>
          <w:p>
            <w:pPr>
              <w:spacing w:after="0"/>
              <w:rPr>
                <w:sz w:val="17"/>
                <w:szCs w:val="17"/>
                <w:color w:val="auto"/>
              </w:rPr>
            </w:pPr>
          </w:p>
        </w:tc>
        <w:tc>
          <w:tcPr>
            <w:tcW w:w="3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10.46</w:t>
            </w:r>
          </w:p>
        </w:tc>
        <w:tc>
          <w:tcPr>
            <w:tcW w:w="200" w:type="dxa"/>
            <w:vAlign w:val="bottom"/>
          </w:tcPr>
          <w:p>
            <w:pPr>
              <w:spacing w:after="0"/>
              <w:rPr>
                <w:sz w:val="17"/>
                <w:szCs w:val="17"/>
                <w:color w:val="auto"/>
              </w:rPr>
            </w:pPr>
          </w:p>
        </w:tc>
        <w:tc>
          <w:tcPr>
            <w:tcW w:w="5120" w:type="dxa"/>
            <w:vAlign w:val="bottom"/>
            <w:tcBorders>
              <w:bottom w:val="single" w:sz="8" w:color="0000EE"/>
            </w:tcBorders>
            <w:gridSpan w:val="31"/>
          </w:tcPr>
          <w:p>
            <w:pPr>
              <w:ind w:left="20"/>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Form of Promissory Note, dated April 1, 2017, issued by the Company</w:t>
              </w:r>
            </w:hyperlink>
          </w:p>
        </w:tc>
        <w:tc>
          <w:tcPr>
            <w:tcW w:w="220" w:type="dxa"/>
            <w:vAlign w:val="bottom"/>
            <w:gridSpan w:val="2"/>
          </w:tcPr>
          <w:p>
            <w:pPr>
              <w:spacing w:after="0"/>
              <w:rPr>
                <w:sz w:val="17"/>
                <w:szCs w:val="17"/>
                <w:color w:val="auto"/>
              </w:rPr>
            </w:pPr>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April 3, 2017</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 favor of each of the Selling Shareholders</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200" w:type="dxa"/>
            <w:vAlign w:val="bottom"/>
          </w:tcPr>
          <w:p>
            <w:pPr>
              <w:spacing w:after="0"/>
              <w:rPr>
                <w:sz w:val="17"/>
                <w:szCs w:val="17"/>
                <w:color w:val="auto"/>
              </w:rPr>
            </w:pPr>
          </w:p>
        </w:tc>
        <w:tc>
          <w:tcPr>
            <w:tcW w:w="3140" w:type="dxa"/>
            <w:vAlign w:val="bottom"/>
            <w:tcBorders>
              <w:top w:val="single" w:sz="8" w:color="0000EE"/>
            </w:tcBorders>
            <w:gridSpan w:val="10"/>
          </w:tcPr>
          <w:p>
            <w:pPr>
              <w:ind w:left="20"/>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2017 Omnibus Incentive Plan</w:t>
              </w:r>
            </w:hyperlink>
          </w:p>
        </w:tc>
        <w:tc>
          <w:tcPr>
            <w:tcW w:w="2200" w:type="dxa"/>
            <w:vAlign w:val="bottom"/>
            <w:gridSpan w:val="23"/>
          </w:tcPr>
          <w:p>
            <w:pPr>
              <w:spacing w:after="0"/>
              <w:rPr>
                <w:sz w:val="17"/>
                <w:szCs w:val="17"/>
                <w:color w:val="auto"/>
              </w:rPr>
            </w:pPr>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April 10, 2017</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Proxy Statement</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*10.48</w:t>
            </w:r>
          </w:p>
        </w:tc>
        <w:tc>
          <w:tcPr>
            <w:tcW w:w="200" w:type="dxa"/>
            <w:vAlign w:val="bottom"/>
          </w:tcPr>
          <w:p>
            <w:pPr>
              <w:spacing w:after="0"/>
              <w:rPr>
                <w:sz w:val="16"/>
                <w:szCs w:val="16"/>
                <w:color w:val="auto"/>
              </w:rPr>
            </w:pPr>
          </w:p>
        </w:tc>
        <w:tc>
          <w:tcPr>
            <w:tcW w:w="5340" w:type="dxa"/>
            <w:vAlign w:val="bottom"/>
            <w:gridSpan w:val="33"/>
          </w:tcPr>
          <w:p>
            <w:pPr>
              <w:ind w:left="20"/>
              <w:spacing w:after="0" w:line="194"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2017 Senior Management Annual Performance Plan</w:t>
              </w:r>
            </w:hyperlink>
          </w:p>
        </w:tc>
        <w:tc>
          <w:tcPr>
            <w:tcW w:w="90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B</w:t>
            </w: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April 10, 2017</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Proxy Statement</w:t>
            </w:r>
          </w:p>
        </w:tc>
        <w:tc>
          <w:tcPr>
            <w:tcW w:w="0" w:type="dxa"/>
            <w:vAlign w:val="bottom"/>
          </w:tcPr>
          <w:p>
            <w:pPr>
              <w:spacing w:after="0"/>
              <w:rPr>
                <w:sz w:val="1"/>
                <w:szCs w:val="1"/>
                <w:color w:val="auto"/>
              </w:rPr>
            </w:pPr>
          </w:p>
        </w:tc>
      </w:tr>
      <w:tr>
        <w:trPr>
          <w:trHeight w:val="194"/>
        </w:trPr>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*10.49</w:t>
            </w:r>
          </w:p>
        </w:tc>
        <w:tc>
          <w:tcPr>
            <w:tcW w:w="200" w:type="dxa"/>
            <w:vAlign w:val="bottom"/>
          </w:tcPr>
          <w:p>
            <w:pPr>
              <w:spacing w:after="0"/>
              <w:rPr>
                <w:sz w:val="16"/>
                <w:szCs w:val="16"/>
                <w:color w:val="auto"/>
              </w:rPr>
            </w:pPr>
          </w:p>
        </w:tc>
        <w:tc>
          <w:tcPr>
            <w:tcW w:w="5340" w:type="dxa"/>
            <w:vAlign w:val="bottom"/>
            <w:gridSpan w:val="33"/>
          </w:tcPr>
          <w:p>
            <w:pPr>
              <w:ind w:left="20"/>
              <w:spacing w:after="0" w:line="194"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Restricted Stock Unit Agreement under the Company’s 2012</w:t>
              </w:r>
            </w:hyperlink>
          </w:p>
        </w:tc>
        <w:tc>
          <w:tcPr>
            <w:tcW w:w="90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First Quarter 2017</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20" w:type="dxa"/>
            <w:vAlign w:val="bottom"/>
            <w:tcBorders>
              <w:top w:val="single" w:sz="8" w:color="0000EE"/>
            </w:tcBorders>
            <w:gridSpan w:val="27"/>
          </w:tcPr>
          <w:p>
            <w:pPr>
              <w:ind w:left="20"/>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Equity Incentive Plan</w:t>
              </w:r>
            </w:hyperlink>
          </w:p>
        </w:tc>
        <w:tc>
          <w:tcPr>
            <w:tcW w:w="3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*10.50</w:t>
            </w:r>
          </w:p>
        </w:tc>
        <w:tc>
          <w:tcPr>
            <w:tcW w:w="200" w:type="dxa"/>
            <w:vAlign w:val="bottom"/>
          </w:tcPr>
          <w:p>
            <w:pPr>
              <w:spacing w:after="0"/>
              <w:rPr>
                <w:sz w:val="17"/>
                <w:szCs w:val="17"/>
                <w:color w:val="auto"/>
              </w:rPr>
            </w:pPr>
          </w:p>
        </w:tc>
        <w:tc>
          <w:tcPr>
            <w:tcW w:w="464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Form of Stock Option Notice under the Company’s 2012 Equity</w:t>
              </w:r>
            </w:hyperlink>
          </w:p>
        </w:tc>
        <w:tc>
          <w:tcPr>
            <w:tcW w:w="700" w:type="dxa"/>
            <w:vAlign w:val="bottom"/>
            <w:gridSpan w:val="11"/>
          </w:tcPr>
          <w:p>
            <w:pPr>
              <w:spacing w:after="0"/>
              <w:rPr>
                <w:sz w:val="17"/>
                <w:szCs w:val="17"/>
                <w:color w:val="auto"/>
              </w:rPr>
            </w:pPr>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2017</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Incentive Plan</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*10.51</w:t>
            </w: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Dollar-denominated Performance Restricted Stock Unit</w:t>
              </w:r>
            </w:hyperlink>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2017</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tcBorders>
              <w:top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Agreement under the Company’s 2012 Equity Incentive Plan</w:t>
              </w:r>
            </w:hyperlink>
          </w:p>
        </w:tc>
        <w:tc>
          <w:tcPr>
            <w:tcW w:w="70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*10.52</w:t>
            </w: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Restricted Stock Unit Agreement under the Company’s 2017</w:t>
              </w:r>
            </w:hyperlink>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20" w:type="dxa"/>
            <w:vAlign w:val="bottom"/>
            <w:tcBorders>
              <w:top w:val="single" w:sz="8" w:color="0000EE"/>
            </w:tcBorders>
            <w:gridSpan w:val="27"/>
          </w:tcPr>
          <w:p>
            <w:pPr>
              <w:ind w:left="20"/>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Omnibus Incentive Plan</w:t>
              </w:r>
            </w:hyperlink>
          </w:p>
        </w:tc>
        <w:tc>
          <w:tcPr>
            <w:tcW w:w="3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200" w:type="dxa"/>
            <w:vAlign w:val="bottom"/>
          </w:tcPr>
          <w:p>
            <w:pPr>
              <w:spacing w:after="0"/>
              <w:rPr>
                <w:sz w:val="17"/>
                <w:szCs w:val="17"/>
                <w:color w:val="auto"/>
              </w:rPr>
            </w:pPr>
          </w:p>
        </w:tc>
        <w:tc>
          <w:tcPr>
            <w:tcW w:w="48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Stock Option Notice under the Company’s 2017 Omnibus</w:t>
              </w:r>
            </w:hyperlink>
          </w:p>
        </w:tc>
        <w:tc>
          <w:tcPr>
            <w:tcW w:w="520" w:type="dxa"/>
            <w:vAlign w:val="bottom"/>
            <w:gridSpan w:val="10"/>
          </w:tcPr>
          <w:p>
            <w:pPr>
              <w:spacing w:after="0"/>
              <w:rPr>
                <w:sz w:val="17"/>
                <w:szCs w:val="17"/>
                <w:color w:val="auto"/>
              </w:rPr>
            </w:pPr>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Incentive Plan</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*10.54</w:t>
            </w: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Dollar-denominated Performance Restricted Stock Unit</w:t>
              </w:r>
            </w:hyperlink>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tcBorders>
              <w:top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Agreement under the Company’s 2017 Omnibus Incentive Plan</w:t>
              </w:r>
            </w:hyperlink>
          </w:p>
        </w:tc>
        <w:tc>
          <w:tcPr>
            <w:tcW w:w="70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10.55</w:t>
            </w:r>
          </w:p>
        </w:tc>
        <w:tc>
          <w:tcPr>
            <w:tcW w:w="2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19"/>
          </w:tcPr>
          <w:p>
            <w:pPr>
              <w:ind w:left="20"/>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Amendment No. 5 to Second Amended and Restated Credit</w:t>
              </w:r>
            </w:hyperlink>
          </w:p>
        </w:tc>
        <w:tc>
          <w:tcPr>
            <w:tcW w:w="260" w:type="dxa"/>
            <w:vAlign w:val="bottom"/>
            <w:tcBorders>
              <w:top w:val="single" w:sz="8" w:color="0000EE"/>
            </w:tcBorders>
            <w:gridSpan w:val="2"/>
          </w:tcPr>
          <w:p>
            <w:pPr>
              <w:spacing w:after="0"/>
              <w:rPr>
                <w:sz w:val="17"/>
                <w:szCs w:val="17"/>
                <w:color w:val="auto"/>
              </w:rPr>
            </w:pPr>
          </w:p>
        </w:tc>
        <w:tc>
          <w:tcPr>
            <w:tcW w:w="760" w:type="dxa"/>
            <w:vAlign w:val="bottom"/>
            <w:gridSpan w:val="12"/>
          </w:tcPr>
          <w:p>
            <w:pPr>
              <w:spacing w:after="0"/>
              <w:rPr>
                <w:sz w:val="17"/>
                <w:szCs w:val="17"/>
                <w:color w:val="auto"/>
              </w:rPr>
            </w:pPr>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Second Quarter 2018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Agreement and Amendment to Other Loan Documents</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7"/>
                <w:szCs w:val="17"/>
                <w:color w:val="auto"/>
              </w:rPr>
            </w:pPr>
          </w:p>
        </w:tc>
        <w:tc>
          <w:tcPr>
            <w:tcW w:w="3960" w:type="dxa"/>
            <w:vAlign w:val="bottom"/>
            <w:tcBorders>
              <w:top w:val="single" w:sz="8" w:color="0000EE"/>
            </w:tcBorders>
            <w:gridSpan w:val="18"/>
          </w:tcPr>
          <w:p>
            <w:pPr>
              <w:ind w:left="20"/>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List of subsidiaries of Comfort Systems USA, Inc.</w:t>
              </w:r>
            </w:hyperlink>
          </w:p>
        </w:tc>
        <w:tc>
          <w:tcPr>
            <w:tcW w:w="138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7"/>
                <w:szCs w:val="17"/>
                <w:color w:val="auto"/>
              </w:rPr>
            </w:pPr>
          </w:p>
        </w:tc>
        <w:tc>
          <w:tcPr>
            <w:tcW w:w="3640" w:type="dxa"/>
            <w:vAlign w:val="bottom"/>
            <w:tcBorders>
              <w:top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Consent of Ernst &amp; Young LLP</w:t>
              </w:r>
            </w:hyperlink>
          </w:p>
        </w:tc>
        <w:tc>
          <w:tcPr>
            <w:tcW w:w="1700" w:type="dxa"/>
            <w:vAlign w:val="bottom"/>
            <w:gridSpan w:val="18"/>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760" w:type="dxa"/>
            <w:vAlign w:val="bottom"/>
            <w:gridSpan w:val="2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Certification of Chief Executive Officer pursuant to Section 302 of the</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6"/>
          </w:tcPr>
          <w:p>
            <w:pPr>
              <w:ind w:left="20"/>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Sarbanes</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Oxley Act of 2002</w:t>
              </w:r>
            </w:hyperlink>
          </w:p>
        </w:tc>
        <w:tc>
          <w:tcPr>
            <w:tcW w:w="3000" w:type="dxa"/>
            <w:vAlign w:val="bottom"/>
            <w:tcBorders>
              <w:top w:val="single" w:sz="8" w:color="0000EE"/>
            </w:tcBorders>
            <w:gridSpan w:val="24"/>
          </w:tcPr>
          <w:p>
            <w:pPr>
              <w:spacing w:after="0"/>
              <w:rPr>
                <w:sz w:val="17"/>
                <w:szCs w:val="17"/>
                <w:color w:val="auto"/>
              </w:rPr>
            </w:pPr>
          </w:p>
        </w:tc>
        <w:tc>
          <w:tcPr>
            <w:tcW w:w="2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Certification of Chief Financial Officer pursuant to Section 302 of the</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6"/>
          </w:tcPr>
          <w:p>
            <w:pPr>
              <w:ind w:left="20"/>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Sarbanes</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Oxley Act of 2002</w:t>
              </w:r>
            </w:hyperlink>
          </w:p>
        </w:tc>
        <w:tc>
          <w:tcPr>
            <w:tcW w:w="2940" w:type="dxa"/>
            <w:vAlign w:val="bottom"/>
            <w:tcBorders>
              <w:top w:val="single" w:sz="8" w:color="0000EE"/>
            </w:tcBorders>
            <w:gridSpan w:val="22"/>
          </w:tcPr>
          <w:p>
            <w:pPr>
              <w:spacing w:after="0"/>
              <w:rPr>
                <w:sz w:val="17"/>
                <w:szCs w:val="17"/>
                <w:color w:val="auto"/>
              </w:rPr>
            </w:pPr>
          </w:p>
        </w:tc>
        <w:tc>
          <w:tcPr>
            <w:tcW w:w="3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Certification of Chief Executive Officer pursuant to Section 906 of the</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6"/>
          </w:tcPr>
          <w:p>
            <w:pPr>
              <w:ind w:left="20"/>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Sarbanes</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Oxley Act of 2002</w:t>
              </w:r>
            </w:hyperlink>
          </w:p>
        </w:tc>
        <w:tc>
          <w:tcPr>
            <w:tcW w:w="3000" w:type="dxa"/>
            <w:vAlign w:val="bottom"/>
            <w:tcBorders>
              <w:top w:val="single" w:sz="8" w:color="0000EE"/>
            </w:tcBorders>
            <w:gridSpan w:val="24"/>
          </w:tcPr>
          <w:p>
            <w:pPr>
              <w:spacing w:after="0"/>
              <w:rPr>
                <w:sz w:val="17"/>
                <w:szCs w:val="17"/>
                <w:color w:val="auto"/>
              </w:rPr>
            </w:pPr>
          </w:p>
        </w:tc>
        <w:tc>
          <w:tcPr>
            <w:tcW w:w="2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7"/>
                <w:szCs w:val="17"/>
                <w:color w:val="auto"/>
              </w:rPr>
            </w:pPr>
          </w:p>
        </w:tc>
        <w:tc>
          <w:tcPr>
            <w:tcW w:w="5340" w:type="dxa"/>
            <w:vAlign w:val="bottom"/>
            <w:gridSpan w:val="33"/>
          </w:tcPr>
          <w:p>
            <w:pPr>
              <w:ind w:left="20"/>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Certification of Chief Financial Officer pursuant to Section 906 of the</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Sarbanes</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Oxley Act of 2002</w:t>
              </w:r>
            </w:hyperlink>
          </w:p>
        </w:tc>
        <w:tc>
          <w:tcPr>
            <w:tcW w:w="2960" w:type="dxa"/>
            <w:vAlign w:val="bottom"/>
            <w:tcBorders>
              <w:top w:val="single" w:sz="8" w:color="0000EE"/>
            </w:tcBorders>
            <w:gridSpan w:val="23"/>
          </w:tcPr>
          <w:p>
            <w:pPr>
              <w:spacing w:after="0"/>
              <w:rPr>
                <w:sz w:val="17"/>
                <w:szCs w:val="17"/>
                <w:color w:val="auto"/>
              </w:rPr>
            </w:pPr>
          </w:p>
        </w:tc>
        <w:tc>
          <w:tcPr>
            <w:tcW w:w="3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15"/>
          </w:tcPr>
          <w:p>
            <w:pPr>
              <w:ind w:left="338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 Exhibit Indicated Below</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to the Filing with the</w:t>
            </w:r>
          </w:p>
        </w:tc>
        <w:tc>
          <w:tcPr>
            <w:tcW w:w="0" w:type="dxa"/>
            <w:vAlign w:val="bottom"/>
          </w:tcPr>
          <w:p>
            <w:pPr>
              <w:spacing w:after="0"/>
              <w:rPr>
                <w:sz w:val="1"/>
                <w:szCs w:val="1"/>
                <w:color w:val="auto"/>
              </w:rPr>
            </w:pPr>
          </w:p>
        </w:tc>
      </w:tr>
      <w:tr>
        <w:trPr>
          <w:trHeight w:val="173"/>
        </w:trPr>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Indicated Below</w:t>
            </w: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534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9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or File Number</w:t>
            </w:r>
          </w:p>
        </w:tc>
        <w:tc>
          <w:tcPr>
            <w:tcW w:w="0" w:type="dxa"/>
            <w:vAlign w:val="bottom"/>
          </w:tcPr>
          <w:p>
            <w:pPr>
              <w:spacing w:after="0"/>
              <w:rPr>
                <w:sz w:val="1"/>
                <w:szCs w:val="1"/>
                <w:color w:val="auto"/>
              </w:rPr>
            </w:pPr>
          </w:p>
        </w:tc>
      </w:tr>
      <w:tr>
        <w:trPr>
          <w:trHeight w:val="173"/>
        </w:trPr>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40" w:type="dxa"/>
            <w:vAlign w:val="bottom"/>
            <w:gridSpan w:val="2"/>
            <w:vMerge w:val="continue"/>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101.INS</w:t>
            </w:r>
          </w:p>
        </w:tc>
        <w:tc>
          <w:tcPr>
            <w:tcW w:w="200" w:type="dxa"/>
            <w:vAlign w:val="bottom"/>
          </w:tcPr>
          <w:p>
            <w:pPr>
              <w:spacing w:after="0"/>
              <w:rPr>
                <w:sz w:val="16"/>
                <w:szCs w:val="16"/>
                <w:color w:val="auto"/>
              </w:rPr>
            </w:pPr>
          </w:p>
        </w:tc>
        <w:tc>
          <w:tcPr>
            <w:tcW w:w="51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XBRL Instance Document</w:t>
            </w:r>
          </w:p>
        </w:tc>
        <w:tc>
          <w:tcPr>
            <w:tcW w:w="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101.SCH</w:t>
            </w: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101.CAL</w:t>
            </w: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101.LAB</w:t>
            </w: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101.PRE</w:t>
            </w: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101.DEF</w:t>
            </w: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1"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175" w:lineRule="exact"/>
        <w:rPr>
          <w:sz w:val="20"/>
          <w:szCs w:val="20"/>
          <w:color w:val="auto"/>
        </w:rPr>
      </w:pPr>
    </w:p>
    <w:p>
      <w:pPr>
        <w:ind w:left="460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E. LANE</w:t>
      </w:r>
    </w:p>
    <w:p>
      <w:pPr>
        <w:spacing w:after="0" w:line="25"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Brian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-128905</wp:posOffset>
            </wp:positionV>
            <wp:extent cx="25558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jc w:val="center"/>
        <w:ind w:left="5040"/>
        <w:spacing w:after="0" w:line="234"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2019</w:t>
      </w:r>
    </w:p>
    <w:p>
      <w:pPr>
        <w:spacing w:after="0" w:line="20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0" w:type="dxa"/>
            <w:vAlign w:val="bottom"/>
          </w:tcPr>
          <w:p>
            <w:pPr>
              <w:spacing w:after="0"/>
              <w:rPr>
                <w:sz w:val="15"/>
                <w:szCs w:val="15"/>
                <w:color w:val="auto"/>
              </w:rPr>
            </w:pPr>
          </w:p>
        </w:tc>
        <w:tc>
          <w:tcPr>
            <w:tcW w:w="35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Brian E. Lane</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0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2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E. Lane</w:t>
            </w:r>
          </w:p>
        </w:tc>
        <w:tc>
          <w:tcPr>
            <w:tcW w:w="220" w:type="dxa"/>
            <w:vAlign w:val="bottom"/>
            <w:vMerge w:val="continue"/>
          </w:tcPr>
          <w:p>
            <w:pPr>
              <w:spacing w:after="0"/>
              <w:rPr>
                <w:sz w:val="19"/>
                <w:szCs w:val="19"/>
                <w:color w:val="auto"/>
              </w:rPr>
            </w:pPr>
          </w:p>
        </w:tc>
        <w:tc>
          <w:tcPr>
            <w:tcW w:w="374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William George</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0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2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George</w:t>
            </w:r>
          </w:p>
        </w:tc>
        <w:tc>
          <w:tcPr>
            <w:tcW w:w="220" w:type="dxa"/>
            <w:vAlign w:val="bottom"/>
            <w:vMerge w:val="continue"/>
          </w:tcPr>
          <w:p>
            <w:pPr>
              <w:spacing w:after="0"/>
              <w:rPr>
                <w:sz w:val="19"/>
                <w:szCs w:val="19"/>
                <w:color w:val="auto"/>
              </w:rPr>
            </w:pPr>
          </w:p>
        </w:tc>
        <w:tc>
          <w:tcPr>
            <w:tcW w:w="374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Julie S. Shaeff</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0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Officer (Principal Accounting Officer)</w:t>
            </w:r>
          </w:p>
        </w:tc>
        <w:tc>
          <w:tcPr>
            <w:tcW w:w="2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S. Shaeff</w:t>
            </w:r>
          </w:p>
        </w:tc>
        <w:tc>
          <w:tcPr>
            <w:tcW w:w="220" w:type="dxa"/>
            <w:vAlign w:val="bottom"/>
            <w:vMerge w:val="continue"/>
          </w:tcPr>
          <w:p>
            <w:pPr>
              <w:spacing w:after="0"/>
              <w:rPr>
                <w:sz w:val="19"/>
                <w:szCs w:val="19"/>
                <w:color w:val="auto"/>
              </w:rPr>
            </w:pPr>
          </w:p>
        </w:tc>
        <w:tc>
          <w:tcPr>
            <w:tcW w:w="374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Franklin Myers</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Franklin Myers</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Darcy G. Anderson</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Darcy G. Anderson</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Herman E. Bulls</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Herman E. Bulls</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Alan P. Krusi</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P. Krusi</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H. Schultz</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H. Schultz</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Pablo G. Mercado</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Pablo G. Mercado</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J. Sandbrook</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J. Sandbrook</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Constance E. Skidmore</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Constance E. Skidmore</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Vance W. Tang</w:t>
            </w:r>
          </w:p>
        </w:tc>
        <w:tc>
          <w:tcPr>
            <w:tcW w:w="2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Vance W. Tang</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6"/>
        </w:trPr>
        <w:tc>
          <w:tcPr>
            <w:tcW w:w="3020" w:type="dxa"/>
            <w:vAlign w:val="bottom"/>
          </w:tcPr>
          <w:p>
            <w:pPr>
              <w:spacing w:after="0"/>
              <w:rPr>
                <w:sz w:val="24"/>
                <w:szCs w:val="24"/>
                <w:color w:val="auto"/>
              </w:rPr>
            </w:pPr>
          </w:p>
        </w:tc>
        <w:tc>
          <w:tcPr>
            <w:tcW w:w="3780" w:type="dxa"/>
            <w:vAlign w:val="bottom"/>
            <w:gridSpan w:val="2"/>
          </w:tcPr>
          <w:p>
            <w:pPr>
              <w:jc w:val="right"/>
              <w:ind w:right="209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82" w:name="page83"/>
    <w:bookmarkEnd w:id="82"/>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gridSpan w:val="4"/>
          </w:tcPr>
          <w:p>
            <w:pPr>
              <w:jc w:val="center"/>
              <w:ind w:left="2255"/>
              <w:spacing w:after="0"/>
              <w:rPr>
                <w:sz w:val="20"/>
                <w:szCs w:val="20"/>
                <w:color w:val="auto"/>
              </w:rPr>
            </w:pPr>
            <w:r>
              <w:rPr>
                <w:rFonts w:ascii="Times New Roman" w:cs="Times New Roman" w:eastAsia="Times New Roman" w:hAnsi="Times New Roman"/>
                <w:sz w:val="18"/>
                <w:szCs w:val="18"/>
                <w:b w:val="1"/>
                <w:bCs w:val="1"/>
                <w:color w:val="auto"/>
                <w:w w:val="99"/>
              </w:rPr>
              <w:t>SUBSIDIARIES OF COMFORT SYSTEMS USA, INC.</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3120" w:type="dxa"/>
            <w:vAlign w:val="bottom"/>
            <w:gridSpan w:val="3"/>
          </w:tcPr>
          <w:p>
            <w:pPr>
              <w:jc w:val="center"/>
              <w:ind w:right="1175"/>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0" w:type="dxa"/>
            <w:vAlign w:val="bottom"/>
          </w:tcPr>
          <w:p>
            <w:pPr>
              <w:spacing w:after="0"/>
              <w:rPr>
                <w:sz w:val="1"/>
                <w:szCs w:val="1"/>
                <w:color w:val="auto"/>
              </w:rPr>
            </w:pPr>
          </w:p>
        </w:tc>
      </w:tr>
      <w:tr>
        <w:trPr>
          <w:trHeight w:val="180"/>
        </w:trPr>
        <w:tc>
          <w:tcPr>
            <w:tcW w:w="3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0" w:type="dxa"/>
            <w:vAlign w:val="bottom"/>
          </w:tcPr>
          <w:p>
            <w:pPr>
              <w:spacing w:after="0"/>
              <w:rPr>
                <w:sz w:val="1"/>
                <w:szCs w:val="1"/>
                <w:color w:val="auto"/>
              </w:rPr>
            </w:pPr>
          </w:p>
        </w:tc>
      </w:tr>
      <w:tr>
        <w:trPr>
          <w:trHeight w:val="162"/>
        </w:trPr>
        <w:tc>
          <w:tcPr>
            <w:tcW w:w="36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56"/>
        </w:trPr>
        <w:tc>
          <w:tcPr>
            <w:tcW w:w="3600" w:type="dxa"/>
            <w:vAlign w:val="bottom"/>
          </w:tcPr>
          <w:p>
            <w:pPr>
              <w:ind w:left="80"/>
              <w:spacing w:after="0" w:line="155" w:lineRule="exact"/>
              <w:rPr>
                <w:sz w:val="20"/>
                <w:szCs w:val="20"/>
                <w:color w:val="auto"/>
              </w:rPr>
            </w:pPr>
            <w:r>
              <w:rPr>
                <w:rFonts w:ascii="Times New Roman" w:cs="Times New Roman" w:eastAsia="Times New Roman" w:hAnsi="Times New Roman"/>
                <w:sz w:val="17"/>
                <w:szCs w:val="17"/>
                <w:color w:val="auto"/>
              </w:rPr>
              <w:t>Accu-Temp GP, Inc.</w:t>
            </w: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Accu-Temp LP,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ACI Mechanical,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Acorn Industrial,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Advance Technology,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Maine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Air Systems Engineering,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Washington</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AirTemp,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Maine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ARC Comfort Systems USA,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Armani East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New York</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Arstectum,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New Hampshire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BCH Holdings,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Florida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BCH Leasing,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Florida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BCH Mechanical,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Florida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BCM Controls Corporation</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Massachusetts</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Billone West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New York</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Blue C, LLC dba HVACRedu.net</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Montana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Building Temperature Solutions,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Indiana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California Comfort Systems USA,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California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ColonialWebb Contractors Company</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Virginia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(Arkansas),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Arkansas</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(Baltimore),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(Indiana),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Indiana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(Intermountain),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6"/>
              </w:rPr>
              <w:t>Utah</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(Kentucky),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Kentucky</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(Mid South),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Alabama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(MidAtlantic),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Virginia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(Northwest),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Washington</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(Ohio),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Ohio</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(South Central),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Texas</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(Southeast),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(Southwest),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Arizona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(Syracuse),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New York</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(Texas), L.P.</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Texas</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Energy Services,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G.P., Inc.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Comfort Systems USA Strategic Accounts,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Indiana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ConServ Building Services of Alabama,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Alabama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ConServ Building Services of Georgia,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Georgia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ConServ Building Services of Tennessee,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Tennessee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ConServ Building Services of Texas,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Texas</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ConServ Building Services,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Florida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w w:val="99"/>
              </w:rPr>
              <w:t>ConServ Building Services of North Carolina,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Control Concepts Mechanical Services,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Georgia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Control Concepts,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Georgia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CSUSA (10),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Delcard Associates, LLC</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36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Design Mechanical Incorporated</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Colorado</w:t>
            </w:r>
          </w:p>
        </w:tc>
        <w:tc>
          <w:tcPr>
            <w:tcW w:w="0" w:type="dxa"/>
            <w:vAlign w:val="bottom"/>
          </w:tcPr>
          <w:p>
            <w:pPr>
              <w:spacing w:after="0"/>
              <w:rPr>
                <w:sz w:val="1"/>
                <w:szCs w:val="1"/>
                <w:color w:val="auto"/>
              </w:rPr>
            </w:pPr>
          </w:p>
        </w:tc>
      </w:tr>
      <w:tr>
        <w:trPr>
          <w:trHeight w:val="241"/>
        </w:trPr>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Dilling Group Leasing Co., LLC</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Indiana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2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FORMATION</w:t>
      </w:r>
    </w:p>
    <w:p>
      <w:pPr>
        <w:jc w:val="center"/>
        <w:ind w:right="660"/>
        <w:spacing w:after="0" w:line="233" w:lineRule="auto"/>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0</wp:posOffset>
            </wp:positionV>
            <wp:extent cx="11576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40"/>
        <w:spacing w:after="0" w:line="219" w:lineRule="auto"/>
        <w:rPr>
          <w:sz w:val="20"/>
          <w:szCs w:val="20"/>
          <w:color w:val="auto"/>
        </w:rPr>
      </w:pPr>
      <w:r>
        <w:rPr>
          <w:rFonts w:ascii="Times New Roman" w:cs="Times New Roman" w:eastAsia="Times New Roman" w:hAnsi="Times New Roman"/>
          <w:sz w:val="18"/>
          <w:szCs w:val="18"/>
          <w:color w:val="auto"/>
        </w:rPr>
        <w:t>05/21/1998</w:t>
      </w:r>
    </w:p>
    <w:p>
      <w:pPr>
        <w:ind w:left="40"/>
        <w:spacing w:after="0" w:line="220" w:lineRule="auto"/>
        <w:rPr>
          <w:sz w:val="20"/>
          <w:szCs w:val="20"/>
          <w:color w:val="auto"/>
        </w:rPr>
      </w:pPr>
      <w:r>
        <w:rPr>
          <w:rFonts w:ascii="Times New Roman" w:cs="Times New Roman" w:eastAsia="Times New Roman" w:hAnsi="Times New Roman"/>
          <w:sz w:val="18"/>
          <w:szCs w:val="18"/>
          <w:color w:val="auto"/>
        </w:rPr>
        <w:t>05/20/1998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06/26/1998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01/03/1997</w:t>
      </w:r>
    </w:p>
    <w:p>
      <w:pPr>
        <w:ind w:left="40"/>
        <w:spacing w:after="0" w:line="219" w:lineRule="auto"/>
        <w:rPr>
          <w:sz w:val="20"/>
          <w:szCs w:val="20"/>
          <w:color w:val="auto"/>
        </w:rPr>
      </w:pPr>
      <w:r>
        <w:rPr>
          <w:rFonts w:ascii="Times New Roman" w:cs="Times New Roman" w:eastAsia="Times New Roman" w:hAnsi="Times New Roman"/>
          <w:sz w:val="18"/>
          <w:szCs w:val="18"/>
          <w:color w:val="auto"/>
        </w:rPr>
        <w:t>08/09/1994</w:t>
      </w:r>
    </w:p>
    <w:p>
      <w:pPr>
        <w:ind w:left="40"/>
        <w:spacing w:after="0" w:line="220" w:lineRule="auto"/>
        <w:rPr>
          <w:sz w:val="20"/>
          <w:szCs w:val="20"/>
          <w:color w:val="auto"/>
        </w:rPr>
      </w:pPr>
      <w:r>
        <w:rPr>
          <w:rFonts w:ascii="Times New Roman" w:cs="Times New Roman" w:eastAsia="Times New Roman" w:hAnsi="Times New Roman"/>
          <w:sz w:val="18"/>
          <w:szCs w:val="18"/>
          <w:color w:val="auto"/>
        </w:rPr>
        <w:t>05/18/1973</w:t>
      </w:r>
    </w:p>
    <w:p>
      <w:pPr>
        <w:ind w:left="40"/>
        <w:spacing w:after="0" w:line="219" w:lineRule="auto"/>
        <w:rPr>
          <w:sz w:val="20"/>
          <w:szCs w:val="20"/>
          <w:color w:val="auto"/>
        </w:rPr>
      </w:pPr>
      <w:r>
        <w:rPr>
          <w:rFonts w:ascii="Times New Roman" w:cs="Times New Roman" w:eastAsia="Times New Roman" w:hAnsi="Times New Roman"/>
          <w:sz w:val="18"/>
          <w:szCs w:val="18"/>
          <w:color w:val="auto"/>
        </w:rPr>
        <w:t>10/15/1998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03/17/1998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12/03/2018</w:t>
      </w:r>
    </w:p>
    <w:p>
      <w:pPr>
        <w:ind w:left="40"/>
        <w:spacing w:after="0" w:line="220" w:lineRule="auto"/>
        <w:rPr>
          <w:sz w:val="20"/>
          <w:szCs w:val="20"/>
          <w:color w:val="auto"/>
        </w:rPr>
      </w:pPr>
      <w:r>
        <w:rPr>
          <w:rFonts w:ascii="Times New Roman" w:cs="Times New Roman" w:eastAsia="Times New Roman" w:hAnsi="Times New Roman"/>
          <w:sz w:val="18"/>
          <w:szCs w:val="18"/>
          <w:color w:val="auto"/>
        </w:rPr>
        <w:t>02/17/2005</w:t>
      </w:r>
    </w:p>
    <w:p>
      <w:pPr>
        <w:ind w:left="40"/>
        <w:spacing w:after="0" w:line="219" w:lineRule="auto"/>
        <w:rPr>
          <w:sz w:val="20"/>
          <w:szCs w:val="20"/>
          <w:color w:val="auto"/>
        </w:rPr>
      </w:pPr>
      <w:r>
        <w:rPr>
          <w:rFonts w:ascii="Times New Roman" w:cs="Times New Roman" w:eastAsia="Times New Roman" w:hAnsi="Times New Roman"/>
          <w:sz w:val="18"/>
          <w:szCs w:val="18"/>
          <w:color w:val="auto"/>
        </w:rPr>
        <w:t>12/28/2004</w:t>
      </w:r>
    </w:p>
    <w:p>
      <w:pPr>
        <w:ind w:left="40"/>
        <w:spacing w:after="0" w:line="219" w:lineRule="auto"/>
        <w:rPr>
          <w:sz w:val="20"/>
          <w:szCs w:val="20"/>
          <w:color w:val="auto"/>
        </w:rPr>
      </w:pPr>
      <w:r>
        <w:rPr>
          <w:rFonts w:ascii="Times New Roman" w:cs="Times New Roman" w:eastAsia="Times New Roman" w:hAnsi="Times New Roman"/>
          <w:sz w:val="18"/>
          <w:szCs w:val="18"/>
          <w:color w:val="auto"/>
        </w:rPr>
        <w:t>10/25/1990</w:t>
      </w:r>
    </w:p>
    <w:p>
      <w:pPr>
        <w:ind w:left="40"/>
        <w:spacing w:after="0" w:line="219" w:lineRule="auto"/>
        <w:rPr>
          <w:sz w:val="20"/>
          <w:szCs w:val="20"/>
          <w:color w:val="auto"/>
        </w:rPr>
      </w:pPr>
      <w:r>
        <w:rPr>
          <w:rFonts w:ascii="Times New Roman" w:cs="Times New Roman" w:eastAsia="Times New Roman" w:hAnsi="Times New Roman"/>
          <w:sz w:val="18"/>
          <w:szCs w:val="18"/>
          <w:color w:val="auto"/>
        </w:rPr>
        <w:t>10/19/1976</w:t>
      </w:r>
    </w:p>
    <w:p>
      <w:pPr>
        <w:ind w:left="40"/>
        <w:spacing w:after="0" w:line="220" w:lineRule="auto"/>
        <w:rPr>
          <w:sz w:val="20"/>
          <w:szCs w:val="20"/>
          <w:color w:val="auto"/>
        </w:rPr>
      </w:pPr>
      <w:r>
        <w:rPr>
          <w:rFonts w:ascii="Times New Roman" w:cs="Times New Roman" w:eastAsia="Times New Roman" w:hAnsi="Times New Roman"/>
          <w:sz w:val="18"/>
          <w:szCs w:val="18"/>
          <w:color w:val="auto"/>
        </w:rPr>
        <w:t>10/03/1984</w:t>
      </w:r>
    </w:p>
    <w:p>
      <w:pPr>
        <w:ind w:left="40"/>
        <w:spacing w:after="0" w:line="219" w:lineRule="auto"/>
        <w:rPr>
          <w:sz w:val="20"/>
          <w:szCs w:val="20"/>
          <w:color w:val="auto"/>
        </w:rPr>
      </w:pPr>
      <w:r>
        <w:rPr>
          <w:rFonts w:ascii="Times New Roman" w:cs="Times New Roman" w:eastAsia="Times New Roman" w:hAnsi="Times New Roman"/>
          <w:sz w:val="18"/>
          <w:szCs w:val="18"/>
          <w:color w:val="auto"/>
        </w:rPr>
        <w:t>12/03/2018</w:t>
      </w:r>
    </w:p>
    <w:p>
      <w:pPr>
        <w:ind w:left="40"/>
        <w:spacing w:after="0" w:line="219" w:lineRule="auto"/>
        <w:rPr>
          <w:sz w:val="20"/>
          <w:szCs w:val="20"/>
          <w:color w:val="auto"/>
        </w:rPr>
      </w:pPr>
      <w:r>
        <w:rPr>
          <w:rFonts w:ascii="Times New Roman" w:cs="Times New Roman" w:eastAsia="Times New Roman" w:hAnsi="Times New Roman"/>
          <w:sz w:val="18"/>
          <w:szCs w:val="18"/>
          <w:color w:val="auto"/>
        </w:rPr>
        <w:t>01/01/2007</w:t>
      </w:r>
    </w:p>
    <w:p>
      <w:pPr>
        <w:ind w:left="40"/>
        <w:spacing w:after="0" w:line="219" w:lineRule="auto"/>
        <w:rPr>
          <w:sz w:val="20"/>
          <w:szCs w:val="20"/>
          <w:color w:val="auto"/>
        </w:rPr>
      </w:pPr>
      <w:r>
        <w:rPr>
          <w:rFonts w:ascii="Times New Roman" w:cs="Times New Roman" w:eastAsia="Times New Roman" w:hAnsi="Times New Roman"/>
          <w:sz w:val="18"/>
          <w:szCs w:val="18"/>
          <w:color w:val="auto"/>
        </w:rPr>
        <w:t>10/27/2009</w:t>
      </w:r>
    </w:p>
    <w:p>
      <w:pPr>
        <w:ind w:left="40"/>
        <w:spacing w:after="0" w:line="219" w:lineRule="auto"/>
        <w:rPr>
          <w:sz w:val="20"/>
          <w:szCs w:val="20"/>
          <w:color w:val="auto"/>
        </w:rPr>
      </w:pPr>
      <w:r>
        <w:rPr>
          <w:rFonts w:ascii="Times New Roman" w:cs="Times New Roman" w:eastAsia="Times New Roman" w:hAnsi="Times New Roman"/>
          <w:sz w:val="18"/>
          <w:szCs w:val="18"/>
          <w:color w:val="auto"/>
        </w:rPr>
        <w:t>05/18/1983</w:t>
      </w:r>
    </w:p>
    <w:p>
      <w:pPr>
        <w:ind w:left="40"/>
        <w:spacing w:after="0" w:line="220" w:lineRule="auto"/>
        <w:rPr>
          <w:sz w:val="20"/>
          <w:szCs w:val="20"/>
          <w:color w:val="auto"/>
        </w:rPr>
      </w:pPr>
      <w:r>
        <w:rPr>
          <w:rFonts w:ascii="Times New Roman" w:cs="Times New Roman" w:eastAsia="Times New Roman" w:hAnsi="Times New Roman"/>
          <w:sz w:val="18"/>
          <w:szCs w:val="18"/>
          <w:color w:val="auto"/>
        </w:rPr>
        <w:t>03/30/1972</w:t>
      </w:r>
    </w:p>
    <w:p>
      <w:pPr>
        <w:ind w:left="40"/>
        <w:spacing w:after="0" w:line="219" w:lineRule="auto"/>
        <w:rPr>
          <w:sz w:val="20"/>
          <w:szCs w:val="20"/>
          <w:color w:val="auto"/>
        </w:rPr>
      </w:pPr>
      <w:r>
        <w:rPr>
          <w:rFonts w:ascii="Times New Roman" w:cs="Times New Roman" w:eastAsia="Times New Roman" w:hAnsi="Times New Roman"/>
          <w:sz w:val="18"/>
          <w:szCs w:val="18"/>
          <w:color w:val="auto"/>
        </w:rPr>
        <w:t>03/17/1998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10/15/1998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06/08/2015</w:t>
      </w:r>
    </w:p>
    <w:p>
      <w:pPr>
        <w:ind w:left="40"/>
        <w:spacing w:after="0" w:line="220" w:lineRule="auto"/>
        <w:rPr>
          <w:sz w:val="20"/>
          <w:szCs w:val="20"/>
          <w:color w:val="auto"/>
        </w:rPr>
      </w:pPr>
      <w:r>
        <w:rPr>
          <w:rFonts w:ascii="Times New Roman" w:cs="Times New Roman" w:eastAsia="Times New Roman" w:hAnsi="Times New Roman"/>
          <w:sz w:val="18"/>
          <w:szCs w:val="18"/>
          <w:color w:val="auto"/>
        </w:rPr>
        <w:t>05/06/1969</w:t>
      </w:r>
    </w:p>
    <w:p>
      <w:pPr>
        <w:ind w:left="40"/>
        <w:spacing w:after="0" w:line="219" w:lineRule="auto"/>
        <w:rPr>
          <w:sz w:val="20"/>
          <w:szCs w:val="20"/>
          <w:color w:val="auto"/>
        </w:rPr>
      </w:pPr>
      <w:r>
        <w:rPr>
          <w:rFonts w:ascii="Times New Roman" w:cs="Times New Roman" w:eastAsia="Times New Roman" w:hAnsi="Times New Roman"/>
          <w:sz w:val="18"/>
          <w:szCs w:val="18"/>
          <w:color w:val="auto"/>
        </w:rPr>
        <w:t>02/10/1981</w:t>
      </w:r>
    </w:p>
    <w:p>
      <w:pPr>
        <w:ind w:left="40"/>
        <w:spacing w:after="0" w:line="219" w:lineRule="auto"/>
        <w:rPr>
          <w:sz w:val="20"/>
          <w:szCs w:val="20"/>
          <w:color w:val="auto"/>
        </w:rPr>
      </w:pPr>
      <w:r>
        <w:rPr>
          <w:rFonts w:ascii="Times New Roman" w:cs="Times New Roman" w:eastAsia="Times New Roman" w:hAnsi="Times New Roman"/>
          <w:sz w:val="18"/>
          <w:szCs w:val="18"/>
          <w:color w:val="auto"/>
        </w:rPr>
        <w:t>08/06/1998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01/01/2010</w:t>
      </w:r>
    </w:p>
    <w:p>
      <w:pPr>
        <w:ind w:left="40"/>
        <w:spacing w:after="0" w:line="220" w:lineRule="auto"/>
        <w:rPr>
          <w:sz w:val="20"/>
          <w:szCs w:val="20"/>
          <w:color w:val="auto"/>
        </w:rPr>
      </w:pPr>
      <w:r>
        <w:rPr>
          <w:rFonts w:ascii="Times New Roman" w:cs="Times New Roman" w:eastAsia="Times New Roman" w:hAnsi="Times New Roman"/>
          <w:sz w:val="18"/>
          <w:szCs w:val="18"/>
          <w:color w:val="auto"/>
        </w:rPr>
        <w:t>02/14/1984</w:t>
      </w:r>
    </w:p>
    <w:p>
      <w:pPr>
        <w:ind w:left="40"/>
        <w:spacing w:after="0" w:line="219" w:lineRule="auto"/>
        <w:rPr>
          <w:sz w:val="20"/>
          <w:szCs w:val="20"/>
          <w:color w:val="auto"/>
        </w:rPr>
      </w:pPr>
      <w:r>
        <w:rPr>
          <w:rFonts w:ascii="Times New Roman" w:cs="Times New Roman" w:eastAsia="Times New Roman" w:hAnsi="Times New Roman"/>
          <w:sz w:val="18"/>
          <w:szCs w:val="18"/>
          <w:color w:val="auto"/>
        </w:rPr>
        <w:t>10/10/1979</w:t>
      </w:r>
    </w:p>
    <w:p>
      <w:pPr>
        <w:ind w:left="40"/>
        <w:spacing w:after="0" w:line="219" w:lineRule="auto"/>
        <w:rPr>
          <w:sz w:val="20"/>
          <w:szCs w:val="20"/>
          <w:color w:val="auto"/>
        </w:rPr>
      </w:pPr>
      <w:r>
        <w:rPr>
          <w:rFonts w:ascii="Times New Roman" w:cs="Times New Roman" w:eastAsia="Times New Roman" w:hAnsi="Times New Roman"/>
          <w:sz w:val="18"/>
          <w:szCs w:val="18"/>
          <w:color w:val="auto"/>
        </w:rPr>
        <w:t>05/24/2007</w:t>
      </w:r>
    </w:p>
    <w:p>
      <w:pPr>
        <w:ind w:left="40"/>
        <w:spacing w:after="0" w:line="219" w:lineRule="auto"/>
        <w:rPr>
          <w:sz w:val="20"/>
          <w:szCs w:val="20"/>
          <w:color w:val="auto"/>
        </w:rPr>
      </w:pPr>
      <w:r>
        <w:rPr>
          <w:rFonts w:ascii="Times New Roman" w:cs="Times New Roman" w:eastAsia="Times New Roman" w:hAnsi="Times New Roman"/>
          <w:sz w:val="18"/>
          <w:szCs w:val="18"/>
          <w:color w:val="auto"/>
        </w:rPr>
        <w:t>03/24/1998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12/23/1977</w:t>
      </w:r>
    </w:p>
    <w:p>
      <w:pPr>
        <w:ind w:left="40"/>
        <w:spacing w:after="0" w:line="220" w:lineRule="auto"/>
        <w:rPr>
          <w:sz w:val="20"/>
          <w:szCs w:val="20"/>
          <w:color w:val="auto"/>
        </w:rPr>
      </w:pPr>
      <w:r>
        <w:rPr>
          <w:rFonts w:ascii="Times New Roman" w:cs="Times New Roman" w:eastAsia="Times New Roman" w:hAnsi="Times New Roman"/>
          <w:sz w:val="18"/>
          <w:szCs w:val="18"/>
          <w:color w:val="auto"/>
        </w:rPr>
        <w:t>03/08/1965</w:t>
      </w:r>
    </w:p>
    <w:p>
      <w:pPr>
        <w:ind w:left="40"/>
        <w:spacing w:after="0" w:line="219" w:lineRule="auto"/>
        <w:rPr>
          <w:sz w:val="20"/>
          <w:szCs w:val="20"/>
          <w:color w:val="auto"/>
        </w:rPr>
      </w:pPr>
      <w:r>
        <w:rPr>
          <w:rFonts w:ascii="Times New Roman" w:cs="Times New Roman" w:eastAsia="Times New Roman" w:hAnsi="Times New Roman"/>
          <w:sz w:val="18"/>
          <w:szCs w:val="18"/>
          <w:color w:val="auto"/>
        </w:rPr>
        <w:t>08/14/1998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08/25/1997</w:t>
      </w:r>
    </w:p>
    <w:p>
      <w:pPr>
        <w:ind w:left="40"/>
        <w:spacing w:after="0" w:line="219" w:lineRule="auto"/>
        <w:rPr>
          <w:sz w:val="20"/>
          <w:szCs w:val="20"/>
          <w:color w:val="auto"/>
        </w:rPr>
      </w:pPr>
      <w:r>
        <w:rPr>
          <w:rFonts w:ascii="Times New Roman" w:cs="Times New Roman" w:eastAsia="Times New Roman" w:hAnsi="Times New Roman"/>
          <w:sz w:val="18"/>
          <w:szCs w:val="18"/>
          <w:color w:val="auto"/>
        </w:rPr>
        <w:t>08/12/1998</w:t>
      </w:r>
    </w:p>
    <w:p>
      <w:pPr>
        <w:ind w:left="40"/>
        <w:spacing w:after="0" w:line="220" w:lineRule="auto"/>
        <w:rPr>
          <w:sz w:val="20"/>
          <w:szCs w:val="20"/>
          <w:color w:val="auto"/>
        </w:rPr>
      </w:pPr>
      <w:r>
        <w:rPr>
          <w:rFonts w:ascii="Times New Roman" w:cs="Times New Roman" w:eastAsia="Times New Roman" w:hAnsi="Times New Roman"/>
          <w:sz w:val="18"/>
          <w:szCs w:val="18"/>
          <w:color w:val="auto"/>
        </w:rPr>
        <w:t>07/28/1998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12/28/2012</w:t>
      </w:r>
    </w:p>
    <w:p>
      <w:pPr>
        <w:ind w:left="40"/>
        <w:spacing w:after="0" w:line="219" w:lineRule="auto"/>
        <w:rPr>
          <w:sz w:val="20"/>
          <w:szCs w:val="20"/>
          <w:color w:val="auto"/>
        </w:rPr>
      </w:pPr>
      <w:r>
        <w:rPr>
          <w:rFonts w:ascii="Times New Roman" w:cs="Times New Roman" w:eastAsia="Times New Roman" w:hAnsi="Times New Roman"/>
          <w:sz w:val="18"/>
          <w:szCs w:val="18"/>
          <w:color w:val="auto"/>
        </w:rPr>
        <w:t>11/04/2008</w:t>
      </w:r>
    </w:p>
    <w:p>
      <w:pPr>
        <w:ind w:left="40"/>
        <w:spacing w:after="0" w:line="219" w:lineRule="auto"/>
        <w:rPr>
          <w:sz w:val="20"/>
          <w:szCs w:val="20"/>
          <w:color w:val="auto"/>
        </w:rPr>
      </w:pPr>
      <w:r>
        <w:rPr>
          <w:rFonts w:ascii="Times New Roman" w:cs="Times New Roman" w:eastAsia="Times New Roman" w:hAnsi="Times New Roman"/>
          <w:sz w:val="18"/>
          <w:szCs w:val="18"/>
          <w:color w:val="auto"/>
        </w:rPr>
        <w:t>01/07/2010</w:t>
      </w:r>
    </w:p>
    <w:p>
      <w:pPr>
        <w:ind w:left="40"/>
        <w:spacing w:after="0" w:line="220" w:lineRule="auto"/>
        <w:rPr>
          <w:sz w:val="20"/>
          <w:szCs w:val="20"/>
          <w:color w:val="auto"/>
        </w:rPr>
      </w:pPr>
      <w:r>
        <w:rPr>
          <w:rFonts w:ascii="Times New Roman" w:cs="Times New Roman" w:eastAsia="Times New Roman" w:hAnsi="Times New Roman"/>
          <w:sz w:val="18"/>
          <w:szCs w:val="18"/>
          <w:color w:val="auto"/>
        </w:rPr>
        <w:t>01/22/2010</w:t>
      </w:r>
    </w:p>
    <w:p>
      <w:pPr>
        <w:ind w:left="40"/>
        <w:spacing w:after="0" w:line="219" w:lineRule="auto"/>
        <w:rPr>
          <w:sz w:val="20"/>
          <w:szCs w:val="20"/>
          <w:color w:val="auto"/>
        </w:rPr>
      </w:pPr>
      <w:r>
        <w:rPr>
          <w:rFonts w:ascii="Times New Roman" w:cs="Times New Roman" w:eastAsia="Times New Roman" w:hAnsi="Times New Roman"/>
          <w:sz w:val="18"/>
          <w:szCs w:val="18"/>
          <w:color w:val="auto"/>
        </w:rPr>
        <w:t>01/05/2005</w:t>
      </w:r>
    </w:p>
    <w:p>
      <w:pPr>
        <w:ind w:left="40"/>
        <w:spacing w:after="0" w:line="219" w:lineRule="auto"/>
        <w:rPr>
          <w:sz w:val="20"/>
          <w:szCs w:val="20"/>
          <w:color w:val="auto"/>
        </w:rPr>
      </w:pPr>
      <w:r>
        <w:rPr>
          <w:rFonts w:ascii="Times New Roman" w:cs="Times New Roman" w:eastAsia="Times New Roman" w:hAnsi="Times New Roman"/>
          <w:sz w:val="18"/>
          <w:szCs w:val="18"/>
          <w:color w:val="auto"/>
        </w:rPr>
        <w:t>03/22/2010</w:t>
      </w:r>
    </w:p>
    <w:p>
      <w:pPr>
        <w:ind w:left="40"/>
        <w:spacing w:after="0" w:line="219" w:lineRule="auto"/>
        <w:rPr>
          <w:sz w:val="20"/>
          <w:szCs w:val="20"/>
          <w:color w:val="auto"/>
        </w:rPr>
      </w:pPr>
      <w:r>
        <w:rPr>
          <w:rFonts w:ascii="Times New Roman" w:cs="Times New Roman" w:eastAsia="Times New Roman" w:hAnsi="Times New Roman"/>
          <w:sz w:val="18"/>
          <w:szCs w:val="18"/>
          <w:color w:val="auto"/>
        </w:rPr>
        <w:t>01/17/2008</w:t>
      </w:r>
    </w:p>
    <w:p>
      <w:pPr>
        <w:ind w:left="40"/>
        <w:spacing w:after="0" w:line="219" w:lineRule="auto"/>
        <w:rPr>
          <w:sz w:val="20"/>
          <w:szCs w:val="20"/>
          <w:color w:val="auto"/>
        </w:rPr>
      </w:pPr>
      <w:r>
        <w:rPr>
          <w:rFonts w:ascii="Times New Roman" w:cs="Times New Roman" w:eastAsia="Times New Roman" w:hAnsi="Times New Roman"/>
          <w:sz w:val="18"/>
          <w:szCs w:val="18"/>
          <w:color w:val="auto"/>
        </w:rPr>
        <w:t>12/16/1996</w:t>
      </w:r>
    </w:p>
    <w:p>
      <w:pPr>
        <w:ind w:left="40"/>
        <w:spacing w:after="0" w:line="220" w:lineRule="auto"/>
        <w:rPr>
          <w:sz w:val="20"/>
          <w:szCs w:val="20"/>
          <w:color w:val="auto"/>
        </w:rPr>
      </w:pPr>
      <w:r>
        <w:rPr>
          <w:rFonts w:ascii="Times New Roman" w:cs="Times New Roman" w:eastAsia="Times New Roman" w:hAnsi="Times New Roman"/>
          <w:sz w:val="18"/>
          <w:szCs w:val="18"/>
          <w:color w:val="auto"/>
        </w:rPr>
        <w:t>10/21/2011</w:t>
      </w:r>
    </w:p>
    <w:p>
      <w:pPr>
        <w:ind w:left="40"/>
        <w:spacing w:after="0" w:line="219" w:lineRule="auto"/>
        <w:rPr>
          <w:sz w:val="20"/>
          <w:szCs w:val="20"/>
          <w:color w:val="auto"/>
        </w:rPr>
      </w:pPr>
      <w:r>
        <w:rPr>
          <w:rFonts w:ascii="Times New Roman" w:cs="Times New Roman" w:eastAsia="Times New Roman" w:hAnsi="Times New Roman"/>
          <w:sz w:val="18"/>
          <w:szCs w:val="18"/>
          <w:color w:val="auto"/>
        </w:rPr>
        <w:t>06/23/2000</w:t>
      </w:r>
    </w:p>
    <w:p>
      <w:pPr>
        <w:ind w:left="40"/>
        <w:spacing w:after="0" w:line="219" w:lineRule="auto"/>
        <w:rPr>
          <w:sz w:val="20"/>
          <w:szCs w:val="20"/>
          <w:color w:val="auto"/>
        </w:rPr>
      </w:pPr>
      <w:r>
        <w:rPr>
          <w:rFonts w:ascii="Times New Roman" w:cs="Times New Roman" w:eastAsia="Times New Roman" w:hAnsi="Times New Roman"/>
          <w:sz w:val="18"/>
          <w:szCs w:val="18"/>
          <w:color w:val="auto"/>
        </w:rPr>
        <w:t>11/25/2003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07/29/2016</w:t>
      </w:r>
    </w:p>
    <w:p>
      <w:pPr>
        <w:sectPr>
          <w:pgSz w:w="11900" w:h="16838" w:orient="portrait"/>
          <w:cols w:equalWidth="0" w:num="2">
            <w:col w:w="6780" w:space="720"/>
            <w:col w:w="1560"/>
          </w:cols>
          <w:pgMar w:left="1420" w:top="104" w:right="14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5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0" w:type="dxa"/>
            <w:vAlign w:val="bottom"/>
          </w:tcPr>
          <w:p>
            <w:pPr>
              <w:spacing w:after="0"/>
              <w:rPr>
                <w:sz w:val="1"/>
                <w:szCs w:val="1"/>
                <w:color w:val="auto"/>
              </w:rPr>
            </w:pPr>
          </w:p>
        </w:tc>
      </w:tr>
      <w:tr>
        <w:trPr>
          <w:trHeight w:val="162"/>
        </w:trPr>
        <w:tc>
          <w:tcPr>
            <w:tcW w:w="5060" w:type="dxa"/>
            <w:vAlign w:val="bottom"/>
            <w:gridSpan w:val="2"/>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56"/>
        </w:trPr>
        <w:tc>
          <w:tcPr>
            <w:tcW w:w="4760" w:type="dxa"/>
            <w:vAlign w:val="bottom"/>
            <w:tcBorders>
              <w:top w:val="single" w:sz="8" w:color="auto"/>
            </w:tcBorders>
          </w:tcPr>
          <w:p>
            <w:pPr>
              <w:ind w:left="80"/>
              <w:spacing w:after="0" w:line="155" w:lineRule="exact"/>
              <w:rPr>
                <w:sz w:val="20"/>
                <w:szCs w:val="20"/>
                <w:color w:val="auto"/>
              </w:rPr>
            </w:pPr>
            <w:r>
              <w:rPr>
                <w:rFonts w:ascii="Times New Roman" w:cs="Times New Roman" w:eastAsia="Times New Roman" w:hAnsi="Times New Roman"/>
                <w:sz w:val="17"/>
                <w:szCs w:val="17"/>
                <w:color w:val="auto"/>
              </w:rPr>
              <w:t>Dilling Group, Inc.</w:t>
            </w:r>
          </w:p>
        </w:tc>
        <w:tc>
          <w:tcPr>
            <w:tcW w:w="300" w:type="dxa"/>
            <w:vAlign w:val="bottom"/>
          </w:tcPr>
          <w:p>
            <w:pPr>
              <w:spacing w:after="0"/>
              <w:rPr>
                <w:sz w:val="13"/>
                <w:szCs w:val="13"/>
                <w:color w:val="auto"/>
              </w:rPr>
            </w:pPr>
          </w:p>
        </w:tc>
        <w:tc>
          <w:tcPr>
            <w:tcW w:w="16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7"/>
                <w:szCs w:val="17"/>
                <w:color w:val="auto"/>
              </w:rPr>
              <w:t>Indiana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Dilling,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Indiana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Dyna Ten Corporation</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Texas</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Dyna Ten Maintenance Services,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Texas</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Eastern Heating &amp; Cooling,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New York</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Eastern Refrigeration Co.,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New York</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Environmental Air Systems,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Envirotrol,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F. W. Dilling,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Indiana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Generex,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Indiana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Granite State Holdings Company,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Granite State Plumbing &amp; Heating,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New Hampshire</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Hess Mechanical,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Maryland</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Mechanical Technical Services,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Texas</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MJ Comfort Plumbing,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New York</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MJ Mechanical Services,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Virginia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North American Mechanical,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OFF,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Indiana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Quality Air Heating &amp; Cooling,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Michigan</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Riddleberger Brothers,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Virginia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Royalaire Holdings,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Florida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Royalaire Mechanical Services II,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Florida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Royalaire Mechanical Services, LLC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Florida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S.I. Goldman Company,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Florida</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S.M. Lawrence (Mississippi),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Mississippi</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S.M. Lawrence Company,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Tennessee</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Seasonair,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Maryland</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ShoffnerKalthoff MES,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Tennessee</w:t>
            </w:r>
          </w:p>
        </w:tc>
        <w:tc>
          <w:tcPr>
            <w:tcW w:w="0" w:type="dxa"/>
            <w:vAlign w:val="bottom"/>
          </w:tcPr>
          <w:p>
            <w:pPr>
              <w:spacing w:after="0"/>
              <w:rPr>
                <w:sz w:val="1"/>
                <w:szCs w:val="1"/>
                <w:color w:val="auto"/>
              </w:rPr>
            </w:pPr>
          </w:p>
        </w:tc>
      </w:tr>
      <w:tr>
        <w:trPr>
          <w:trHeight w:val="189"/>
        </w:trPr>
        <w:tc>
          <w:tcPr>
            <w:tcW w:w="506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Temp Right Service, Inc.</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Delaware</w:t>
            </w:r>
          </w:p>
        </w:tc>
        <w:tc>
          <w:tcPr>
            <w:tcW w:w="0" w:type="dxa"/>
            <w:vAlign w:val="bottom"/>
          </w:tcPr>
          <w:p>
            <w:pPr>
              <w:spacing w:after="0"/>
              <w:rPr>
                <w:sz w:val="1"/>
                <w:szCs w:val="1"/>
                <w:color w:val="auto"/>
              </w:rPr>
            </w:pPr>
          </w:p>
        </w:tc>
      </w:tr>
      <w:tr>
        <w:trPr>
          <w:trHeight w:val="241"/>
        </w:trPr>
        <w:tc>
          <w:tcPr>
            <w:tcW w:w="5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Trumbo Electric, Incorporated</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Virginia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344170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FORMATION</w:t>
      </w:r>
    </w:p>
    <w:p>
      <w:pPr>
        <w:jc w:val="center"/>
        <w:ind w:right="639"/>
        <w:spacing w:after="0" w:line="233" w:lineRule="auto"/>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0</wp:posOffset>
            </wp:positionV>
            <wp:extent cx="11576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40"/>
        <w:spacing w:after="0" w:line="219" w:lineRule="auto"/>
        <w:rPr>
          <w:sz w:val="20"/>
          <w:szCs w:val="20"/>
          <w:color w:val="auto"/>
        </w:rPr>
      </w:pPr>
      <w:r>
        <w:rPr>
          <w:rFonts w:ascii="Times New Roman" w:cs="Times New Roman" w:eastAsia="Times New Roman" w:hAnsi="Times New Roman"/>
          <w:sz w:val="18"/>
          <w:szCs w:val="18"/>
          <w:color w:val="auto"/>
        </w:rPr>
        <w:t>12/14/1984</w:t>
      </w:r>
    </w:p>
    <w:p>
      <w:pPr>
        <w:ind w:left="40"/>
        <w:spacing w:after="0" w:line="220" w:lineRule="auto"/>
        <w:rPr>
          <w:sz w:val="20"/>
          <w:szCs w:val="20"/>
          <w:color w:val="auto"/>
        </w:rPr>
      </w:pPr>
      <w:r>
        <w:rPr>
          <w:rFonts w:ascii="Times New Roman" w:cs="Times New Roman" w:eastAsia="Times New Roman" w:hAnsi="Times New Roman"/>
          <w:sz w:val="18"/>
          <w:szCs w:val="18"/>
          <w:color w:val="auto"/>
        </w:rPr>
        <w:t>12/29/1998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06/26/1980</w:t>
      </w:r>
    </w:p>
    <w:p>
      <w:pPr>
        <w:ind w:left="40"/>
        <w:spacing w:after="0" w:line="219" w:lineRule="auto"/>
        <w:rPr>
          <w:sz w:val="20"/>
          <w:szCs w:val="20"/>
          <w:color w:val="auto"/>
        </w:rPr>
      </w:pPr>
      <w:r>
        <w:rPr>
          <w:rFonts w:ascii="Times New Roman" w:cs="Times New Roman" w:eastAsia="Times New Roman" w:hAnsi="Times New Roman"/>
          <w:sz w:val="18"/>
          <w:szCs w:val="18"/>
          <w:color w:val="auto"/>
        </w:rPr>
        <w:t>08/07/2006</w:t>
      </w:r>
    </w:p>
    <w:p>
      <w:pPr>
        <w:ind w:left="40"/>
        <w:spacing w:after="0" w:line="219" w:lineRule="auto"/>
        <w:rPr>
          <w:sz w:val="20"/>
          <w:szCs w:val="20"/>
          <w:color w:val="auto"/>
        </w:rPr>
      </w:pPr>
      <w:r>
        <w:rPr>
          <w:rFonts w:ascii="Times New Roman" w:cs="Times New Roman" w:eastAsia="Times New Roman" w:hAnsi="Times New Roman"/>
          <w:sz w:val="18"/>
          <w:szCs w:val="18"/>
          <w:color w:val="auto"/>
        </w:rPr>
        <w:t>12/19/1988</w:t>
      </w:r>
    </w:p>
    <w:p>
      <w:pPr>
        <w:ind w:left="40"/>
        <w:spacing w:after="0" w:line="220" w:lineRule="auto"/>
        <w:rPr>
          <w:sz w:val="20"/>
          <w:szCs w:val="20"/>
          <w:color w:val="auto"/>
        </w:rPr>
      </w:pPr>
      <w:r>
        <w:rPr>
          <w:rFonts w:ascii="Times New Roman" w:cs="Times New Roman" w:eastAsia="Times New Roman" w:hAnsi="Times New Roman"/>
          <w:sz w:val="18"/>
          <w:szCs w:val="18"/>
          <w:color w:val="auto"/>
        </w:rPr>
        <w:t>01/30/1990</w:t>
      </w:r>
    </w:p>
    <w:p>
      <w:pPr>
        <w:ind w:left="40"/>
        <w:spacing w:after="0" w:line="219" w:lineRule="auto"/>
        <w:rPr>
          <w:sz w:val="20"/>
          <w:szCs w:val="20"/>
          <w:color w:val="auto"/>
        </w:rPr>
      </w:pPr>
      <w:r>
        <w:rPr>
          <w:rFonts w:ascii="Times New Roman" w:cs="Times New Roman" w:eastAsia="Times New Roman" w:hAnsi="Times New Roman"/>
          <w:sz w:val="18"/>
          <w:szCs w:val="18"/>
          <w:color w:val="auto"/>
        </w:rPr>
        <w:t>10/07/2011</w:t>
      </w:r>
    </w:p>
    <w:p>
      <w:pPr>
        <w:ind w:left="40"/>
        <w:spacing w:after="0" w:line="219" w:lineRule="auto"/>
        <w:rPr>
          <w:sz w:val="20"/>
          <w:szCs w:val="20"/>
          <w:color w:val="auto"/>
        </w:rPr>
      </w:pPr>
      <w:r>
        <w:rPr>
          <w:rFonts w:ascii="Times New Roman" w:cs="Times New Roman" w:eastAsia="Times New Roman" w:hAnsi="Times New Roman"/>
          <w:sz w:val="18"/>
          <w:szCs w:val="18"/>
          <w:color w:val="auto"/>
        </w:rPr>
        <w:t>10/28/2011</w:t>
      </w:r>
    </w:p>
    <w:p>
      <w:pPr>
        <w:ind w:left="40"/>
        <w:spacing w:after="0" w:line="219" w:lineRule="auto"/>
        <w:rPr>
          <w:sz w:val="20"/>
          <w:szCs w:val="20"/>
          <w:color w:val="auto"/>
        </w:rPr>
      </w:pPr>
      <w:r>
        <w:rPr>
          <w:rFonts w:ascii="Times New Roman" w:cs="Times New Roman" w:eastAsia="Times New Roman" w:hAnsi="Times New Roman"/>
          <w:sz w:val="18"/>
          <w:szCs w:val="18"/>
          <w:color w:val="auto"/>
        </w:rPr>
        <w:t>12/06/1999</w:t>
      </w:r>
    </w:p>
    <w:p>
      <w:pPr>
        <w:ind w:left="40"/>
        <w:spacing w:after="0" w:line="220" w:lineRule="auto"/>
        <w:rPr>
          <w:sz w:val="20"/>
          <w:szCs w:val="20"/>
          <w:color w:val="auto"/>
        </w:rPr>
      </w:pPr>
      <w:r>
        <w:rPr>
          <w:rFonts w:ascii="Times New Roman" w:cs="Times New Roman" w:eastAsia="Times New Roman" w:hAnsi="Times New Roman"/>
          <w:sz w:val="18"/>
          <w:szCs w:val="18"/>
          <w:color w:val="auto"/>
        </w:rPr>
        <w:t>12/22/2017</w:t>
      </w:r>
    </w:p>
    <w:p>
      <w:pPr>
        <w:ind w:left="40"/>
        <w:spacing w:after="0" w:line="219" w:lineRule="auto"/>
        <w:rPr>
          <w:sz w:val="20"/>
          <w:szCs w:val="20"/>
          <w:color w:val="auto"/>
        </w:rPr>
      </w:pPr>
      <w:r>
        <w:rPr>
          <w:rFonts w:ascii="Times New Roman" w:cs="Times New Roman" w:eastAsia="Times New Roman" w:hAnsi="Times New Roman"/>
          <w:sz w:val="18"/>
          <w:szCs w:val="18"/>
          <w:color w:val="auto"/>
        </w:rPr>
        <w:t>11/03/2005</w:t>
      </w:r>
    </w:p>
    <w:p>
      <w:pPr>
        <w:ind w:left="40"/>
        <w:spacing w:after="0" w:line="219" w:lineRule="auto"/>
        <w:rPr>
          <w:sz w:val="20"/>
          <w:szCs w:val="20"/>
          <w:color w:val="auto"/>
        </w:rPr>
      </w:pPr>
      <w:r>
        <w:rPr>
          <w:rFonts w:ascii="Times New Roman" w:cs="Times New Roman" w:eastAsia="Times New Roman" w:hAnsi="Times New Roman"/>
          <w:sz w:val="18"/>
          <w:szCs w:val="18"/>
          <w:color w:val="auto"/>
        </w:rPr>
        <w:t>07/31/2001</w:t>
      </w:r>
    </w:p>
    <w:p>
      <w:pPr>
        <w:ind w:left="40"/>
        <w:spacing w:after="0" w:line="219" w:lineRule="auto"/>
        <w:rPr>
          <w:sz w:val="20"/>
          <w:szCs w:val="20"/>
          <w:color w:val="auto"/>
        </w:rPr>
      </w:pPr>
      <w:r>
        <w:rPr>
          <w:rFonts w:ascii="Times New Roman" w:cs="Times New Roman" w:eastAsia="Times New Roman" w:hAnsi="Times New Roman"/>
          <w:sz w:val="18"/>
          <w:szCs w:val="18"/>
          <w:color w:val="auto"/>
        </w:rPr>
        <w:t>12/31/2015</w:t>
      </w:r>
    </w:p>
    <w:p>
      <w:pPr>
        <w:ind w:left="40"/>
        <w:spacing w:after="0" w:line="220" w:lineRule="auto"/>
        <w:rPr>
          <w:sz w:val="20"/>
          <w:szCs w:val="20"/>
          <w:color w:val="auto"/>
        </w:rPr>
      </w:pPr>
      <w:r>
        <w:rPr>
          <w:rFonts w:ascii="Times New Roman" w:cs="Times New Roman" w:eastAsia="Times New Roman" w:hAnsi="Times New Roman"/>
          <w:sz w:val="18"/>
          <w:szCs w:val="18"/>
          <w:color w:val="auto"/>
        </w:rPr>
        <w:t>05/24/2007</w:t>
      </w:r>
    </w:p>
    <w:p>
      <w:pPr>
        <w:ind w:left="40"/>
        <w:spacing w:after="0" w:line="219" w:lineRule="auto"/>
        <w:rPr>
          <w:sz w:val="20"/>
          <w:szCs w:val="20"/>
          <w:color w:val="auto"/>
        </w:rPr>
      </w:pPr>
      <w:r>
        <w:rPr>
          <w:rFonts w:ascii="Times New Roman" w:cs="Times New Roman" w:eastAsia="Times New Roman" w:hAnsi="Times New Roman"/>
          <w:sz w:val="18"/>
          <w:szCs w:val="18"/>
          <w:color w:val="auto"/>
        </w:rPr>
        <w:t>09/16/2014</w:t>
      </w:r>
    </w:p>
    <w:p>
      <w:pPr>
        <w:ind w:left="40"/>
        <w:spacing w:after="0" w:line="219" w:lineRule="auto"/>
        <w:rPr>
          <w:sz w:val="20"/>
          <w:szCs w:val="20"/>
          <w:color w:val="auto"/>
        </w:rPr>
      </w:pPr>
      <w:r>
        <w:rPr>
          <w:rFonts w:ascii="Times New Roman" w:cs="Times New Roman" w:eastAsia="Times New Roman" w:hAnsi="Times New Roman"/>
          <w:sz w:val="18"/>
          <w:szCs w:val="18"/>
          <w:color w:val="auto"/>
        </w:rPr>
        <w:t>12/12/1997</w:t>
      </w:r>
    </w:p>
    <w:p>
      <w:pPr>
        <w:ind w:left="40"/>
        <w:spacing w:after="0" w:line="219" w:lineRule="auto"/>
        <w:rPr>
          <w:sz w:val="20"/>
          <w:szCs w:val="20"/>
          <w:color w:val="auto"/>
        </w:rPr>
      </w:pPr>
      <w:r>
        <w:rPr>
          <w:rFonts w:ascii="Times New Roman" w:cs="Times New Roman" w:eastAsia="Times New Roman" w:hAnsi="Times New Roman"/>
          <w:sz w:val="18"/>
          <w:szCs w:val="18"/>
          <w:color w:val="auto"/>
        </w:rPr>
        <w:t>03/17/1998</w:t>
      </w:r>
    </w:p>
    <w:p>
      <w:pPr>
        <w:ind w:left="40"/>
        <w:spacing w:after="0" w:line="219" w:lineRule="auto"/>
        <w:rPr>
          <w:sz w:val="20"/>
          <w:szCs w:val="20"/>
          <w:color w:val="auto"/>
        </w:rPr>
      </w:pPr>
      <w:r>
        <w:rPr>
          <w:rFonts w:ascii="Times New Roman" w:cs="Times New Roman" w:eastAsia="Times New Roman" w:hAnsi="Times New Roman"/>
          <w:sz w:val="18"/>
          <w:szCs w:val="18"/>
          <w:color w:val="auto"/>
        </w:rPr>
        <w:t>11/22/2002</w:t>
      </w:r>
    </w:p>
    <w:p>
      <w:pPr>
        <w:ind w:left="40"/>
        <w:spacing w:after="0" w:line="220" w:lineRule="auto"/>
        <w:rPr>
          <w:sz w:val="20"/>
          <w:szCs w:val="20"/>
          <w:color w:val="auto"/>
        </w:rPr>
      </w:pPr>
      <w:r>
        <w:rPr>
          <w:rFonts w:ascii="Times New Roman" w:cs="Times New Roman" w:eastAsia="Times New Roman" w:hAnsi="Times New Roman"/>
          <w:sz w:val="18"/>
          <w:szCs w:val="18"/>
          <w:color w:val="auto"/>
        </w:rPr>
        <w:t>09/10/1980</w:t>
      </w:r>
    </w:p>
    <w:p>
      <w:pPr>
        <w:ind w:left="40"/>
        <w:spacing w:after="0" w:line="219" w:lineRule="auto"/>
        <w:rPr>
          <w:sz w:val="20"/>
          <w:szCs w:val="20"/>
          <w:color w:val="auto"/>
        </w:rPr>
      </w:pPr>
      <w:r>
        <w:rPr>
          <w:rFonts w:ascii="Times New Roman" w:cs="Times New Roman" w:eastAsia="Times New Roman" w:hAnsi="Times New Roman"/>
          <w:sz w:val="18"/>
          <w:szCs w:val="18"/>
          <w:color w:val="auto"/>
        </w:rPr>
        <w:t>12/22/1958</w:t>
      </w:r>
    </w:p>
    <w:p>
      <w:pPr>
        <w:ind w:left="40"/>
        <w:spacing w:after="0" w:line="219" w:lineRule="auto"/>
        <w:rPr>
          <w:sz w:val="20"/>
          <w:szCs w:val="20"/>
          <w:color w:val="auto"/>
        </w:rPr>
      </w:pPr>
      <w:r>
        <w:rPr>
          <w:rFonts w:ascii="Times New Roman" w:cs="Times New Roman" w:eastAsia="Times New Roman" w:hAnsi="Times New Roman"/>
          <w:sz w:val="18"/>
          <w:szCs w:val="18"/>
          <w:color w:val="auto"/>
        </w:rPr>
        <w:t>03/22/2006</w:t>
      </w:r>
    </w:p>
    <w:p>
      <w:pPr>
        <w:ind w:left="40"/>
        <w:spacing w:after="0" w:line="219" w:lineRule="auto"/>
        <w:rPr>
          <w:sz w:val="20"/>
          <w:szCs w:val="20"/>
          <w:color w:val="auto"/>
        </w:rPr>
      </w:pPr>
      <w:r>
        <w:rPr>
          <w:rFonts w:ascii="Times New Roman" w:cs="Times New Roman" w:eastAsia="Times New Roman" w:hAnsi="Times New Roman"/>
          <w:sz w:val="18"/>
          <w:szCs w:val="18"/>
          <w:color w:val="auto"/>
        </w:rPr>
        <w:t>09/27/2010</w:t>
      </w:r>
    </w:p>
    <w:p>
      <w:pPr>
        <w:ind w:left="40"/>
        <w:spacing w:after="0" w:line="220" w:lineRule="auto"/>
        <w:rPr>
          <w:sz w:val="20"/>
          <w:szCs w:val="20"/>
          <w:color w:val="auto"/>
        </w:rPr>
      </w:pPr>
      <w:r>
        <w:rPr>
          <w:rFonts w:ascii="Times New Roman" w:cs="Times New Roman" w:eastAsia="Times New Roman" w:hAnsi="Times New Roman"/>
          <w:sz w:val="18"/>
          <w:szCs w:val="18"/>
          <w:color w:val="auto"/>
        </w:rPr>
        <w:t>09/12/2006</w:t>
      </w:r>
    </w:p>
    <w:p>
      <w:pPr>
        <w:ind w:left="40"/>
        <w:spacing w:after="0" w:line="219" w:lineRule="auto"/>
        <w:rPr>
          <w:sz w:val="20"/>
          <w:szCs w:val="20"/>
          <w:color w:val="auto"/>
        </w:rPr>
      </w:pPr>
      <w:r>
        <w:rPr>
          <w:rFonts w:ascii="Times New Roman" w:cs="Times New Roman" w:eastAsia="Times New Roman" w:hAnsi="Times New Roman"/>
          <w:sz w:val="18"/>
          <w:szCs w:val="18"/>
          <w:color w:val="auto"/>
        </w:rPr>
        <w:t>10/04/1976</w:t>
      </w:r>
    </w:p>
    <w:p>
      <w:pPr>
        <w:ind w:left="40"/>
        <w:spacing w:after="0" w:line="219" w:lineRule="auto"/>
        <w:rPr>
          <w:sz w:val="20"/>
          <w:szCs w:val="20"/>
          <w:color w:val="auto"/>
        </w:rPr>
      </w:pPr>
      <w:r>
        <w:rPr>
          <w:rFonts w:ascii="Times New Roman" w:cs="Times New Roman" w:eastAsia="Times New Roman" w:hAnsi="Times New Roman"/>
          <w:sz w:val="18"/>
          <w:szCs w:val="18"/>
          <w:color w:val="auto"/>
        </w:rPr>
        <w:t>04/05/2011</w:t>
      </w:r>
    </w:p>
    <w:p>
      <w:pPr>
        <w:ind w:left="40"/>
        <w:spacing w:after="0" w:line="219" w:lineRule="auto"/>
        <w:rPr>
          <w:sz w:val="20"/>
          <w:szCs w:val="20"/>
          <w:color w:val="auto"/>
        </w:rPr>
      </w:pPr>
      <w:r>
        <w:rPr>
          <w:rFonts w:ascii="Times New Roman" w:cs="Times New Roman" w:eastAsia="Times New Roman" w:hAnsi="Times New Roman"/>
          <w:sz w:val="18"/>
          <w:szCs w:val="18"/>
          <w:color w:val="auto"/>
        </w:rPr>
        <w:t>03/08/1973</w:t>
      </w:r>
    </w:p>
    <w:p>
      <w:pPr>
        <w:ind w:left="40"/>
        <w:spacing w:after="0" w:line="220" w:lineRule="auto"/>
        <w:rPr>
          <w:sz w:val="20"/>
          <w:szCs w:val="20"/>
          <w:color w:val="auto"/>
        </w:rPr>
      </w:pPr>
      <w:r>
        <w:rPr>
          <w:rFonts w:ascii="Times New Roman" w:cs="Times New Roman" w:eastAsia="Times New Roman" w:hAnsi="Times New Roman"/>
          <w:sz w:val="18"/>
          <w:szCs w:val="18"/>
          <w:color w:val="auto"/>
        </w:rPr>
        <w:t>10/28/1966</w:t>
      </w:r>
    </w:p>
    <w:p>
      <w:pPr>
        <w:ind w:left="40"/>
        <w:spacing w:after="0" w:line="219" w:lineRule="auto"/>
        <w:rPr>
          <w:sz w:val="20"/>
          <w:szCs w:val="20"/>
          <w:color w:val="auto"/>
        </w:rPr>
      </w:pPr>
      <w:r>
        <w:rPr>
          <w:rFonts w:ascii="Times New Roman" w:cs="Times New Roman" w:eastAsia="Times New Roman" w:hAnsi="Times New Roman"/>
          <w:sz w:val="18"/>
          <w:szCs w:val="18"/>
          <w:color w:val="auto"/>
        </w:rPr>
        <w:t>05/18/2005</w:t>
      </w:r>
    </w:p>
    <w:p>
      <w:pPr>
        <w:ind w:left="40"/>
        <w:spacing w:after="0" w:line="219" w:lineRule="auto"/>
        <w:rPr>
          <w:sz w:val="20"/>
          <w:szCs w:val="20"/>
          <w:color w:val="auto"/>
        </w:rPr>
      </w:pPr>
      <w:r>
        <w:rPr>
          <w:rFonts w:ascii="Times New Roman" w:cs="Times New Roman" w:eastAsia="Times New Roman" w:hAnsi="Times New Roman"/>
          <w:sz w:val="18"/>
          <w:szCs w:val="18"/>
          <w:color w:val="auto"/>
        </w:rPr>
        <w:t>09/25/1997</w:t>
      </w:r>
    </w:p>
    <w:p>
      <w:pPr>
        <w:ind w:left="40"/>
        <w:spacing w:after="0"/>
        <w:rPr>
          <w:sz w:val="20"/>
          <w:szCs w:val="20"/>
          <w:color w:val="auto"/>
        </w:rPr>
      </w:pPr>
      <w:r>
        <w:rPr>
          <w:rFonts w:ascii="Times New Roman" w:cs="Times New Roman" w:eastAsia="Times New Roman" w:hAnsi="Times New Roman"/>
          <w:sz w:val="18"/>
          <w:szCs w:val="18"/>
          <w:color w:val="auto"/>
        </w:rPr>
        <w:t>06/02/1966</w:t>
      </w:r>
    </w:p>
    <w:p>
      <w:pPr>
        <w:sectPr>
          <w:pgSz w:w="11900" w:h="16838" w:orient="portrait"/>
          <w:cols w:equalWidth="0" w:num="2">
            <w:col w:w="6780" w:space="720"/>
            <w:col w:w="1539"/>
          </w:cols>
          <w:pgMar w:left="1420" w:top="86"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44" w:lineRule="exact"/>
        <w:rPr>
          <w:sz w:val="20"/>
          <w:szCs w:val="20"/>
          <w:color w:val="auto"/>
        </w:rPr>
      </w:pPr>
    </w:p>
    <w:p>
      <w:pPr>
        <w:ind w:right="2220" w:firstLine="2233"/>
        <w:spacing w:after="0" w:line="392"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1300" w:right="100" w:hanging="649"/>
        <w:spacing w:after="0" w:line="205" w:lineRule="exact"/>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38011) pertaining to the 1997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Incentive Plan, 1997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Stock Plan, and 1998 Employee Stock Purchase Plan of Comfort Systems USA, Inc.</w:t>
      </w:r>
    </w:p>
    <w:p>
      <w:pPr>
        <w:spacing w:after="0" w:line="89" w:lineRule="exact"/>
        <w:rPr>
          <w:rFonts w:ascii="Times New Roman" w:cs="Times New Roman" w:eastAsia="Times New Roman" w:hAnsi="Times New Roman"/>
          <w:sz w:val="18"/>
          <w:szCs w:val="18"/>
          <w:color w:val="auto"/>
        </w:rPr>
      </w:pPr>
    </w:p>
    <w:p>
      <w:pPr>
        <w:ind w:left="1300" w:right="560" w:hanging="649"/>
        <w:spacing w:after="0" w:line="220" w:lineRule="exact"/>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44354) pertaining to the 2000 Incentive Plan of Comfort Systems USA, Inc.</w:t>
      </w:r>
    </w:p>
    <w:p>
      <w:pPr>
        <w:spacing w:after="0" w:line="88" w:lineRule="exact"/>
        <w:rPr>
          <w:rFonts w:ascii="Times New Roman" w:cs="Times New Roman" w:eastAsia="Times New Roman" w:hAnsi="Times New Roman"/>
          <w:sz w:val="18"/>
          <w:szCs w:val="18"/>
          <w:color w:val="auto"/>
        </w:rPr>
      </w:pPr>
    </w:p>
    <w:p>
      <w:pPr>
        <w:ind w:left="1300" w:right="80" w:hanging="649"/>
        <w:spacing w:after="0" w:line="229" w:lineRule="exact"/>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138377) pertaining to the 2006 Equity Incentive Plan and 2006 Stock Options/SAR Plan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of Comfort Systems USA, Inc.</w:t>
      </w:r>
    </w:p>
    <w:p>
      <w:pPr>
        <w:spacing w:after="0" w:line="69" w:lineRule="exact"/>
        <w:rPr>
          <w:rFonts w:ascii="Times New Roman" w:cs="Times New Roman" w:eastAsia="Times New Roman" w:hAnsi="Times New Roman"/>
          <w:sz w:val="18"/>
          <w:szCs w:val="18"/>
          <w:color w:val="auto"/>
        </w:rPr>
      </w:pPr>
    </w:p>
    <w:p>
      <w:pPr>
        <w:ind w:left="1300" w:right="320" w:hanging="649"/>
        <w:spacing w:after="0" w:line="220" w:lineRule="exact"/>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188302) pertaining to the Comfort Systems USA, Inc. 2012 Equity Incentive Plan.</w:t>
      </w:r>
    </w:p>
    <w:p>
      <w:pPr>
        <w:spacing w:after="0" w:line="88" w:lineRule="exact"/>
        <w:rPr>
          <w:rFonts w:ascii="Times New Roman" w:cs="Times New Roman" w:eastAsia="Times New Roman" w:hAnsi="Times New Roman"/>
          <w:sz w:val="18"/>
          <w:szCs w:val="18"/>
          <w:color w:val="auto"/>
        </w:rPr>
      </w:pPr>
    </w:p>
    <w:p>
      <w:pPr>
        <w:ind w:left="1300" w:right="340" w:hanging="649"/>
        <w:spacing w:after="0" w:line="220" w:lineRule="exact"/>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221142) pertaining to the Comfort Systems USA, Inc. 2017 Omnibus Incentive Plan.</w:t>
      </w:r>
    </w:p>
    <w:p>
      <w:pPr>
        <w:spacing w:after="0" w:line="117" w:lineRule="exact"/>
        <w:rPr>
          <w:sz w:val="20"/>
          <w:szCs w:val="20"/>
          <w:color w:val="auto"/>
        </w:rPr>
      </w:pPr>
    </w:p>
    <w:p>
      <w:pPr>
        <w:ind w:right="160"/>
        <w:spacing w:after="0" w:line="202" w:lineRule="exact"/>
        <w:rPr>
          <w:sz w:val="20"/>
          <w:szCs w:val="20"/>
          <w:color w:val="auto"/>
        </w:rPr>
      </w:pPr>
      <w:r>
        <w:rPr>
          <w:rFonts w:ascii="Times New Roman" w:cs="Times New Roman" w:eastAsia="Times New Roman" w:hAnsi="Times New Roman"/>
          <w:sz w:val="18"/>
          <w:szCs w:val="18"/>
          <w:color w:val="auto"/>
        </w:rPr>
        <w:t>of our reports dated February 21, 2019, with respect to the consolidated financial statements of Comfort Systems USA, Inc. and the effectiveness of internal control over financial reporting of Comfort Systems USA, Inc., included in this Annual Report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Comfort Systems USA, Inc. for the year ended December 31, 2018.</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rPr>
          <w:sz w:val="20"/>
          <w:szCs w:val="20"/>
          <w:color w:val="auto"/>
        </w:rPr>
      </w:pPr>
      <w:r>
        <w:rPr>
          <w:rFonts w:ascii="Times New Roman" w:cs="Times New Roman" w:eastAsia="Times New Roman" w:hAnsi="Times New Roman"/>
          <w:sz w:val="18"/>
          <w:szCs w:val="18"/>
          <w:color w:val="auto"/>
        </w:rPr>
        <w:t>February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ind w:left="2400"/>
        <w:spacing w:after="0" w:line="207" w:lineRule="exact"/>
        <w:rPr>
          <w:sz w:val="20"/>
          <w:szCs w:val="20"/>
          <w:color w:val="auto"/>
        </w:rPr>
      </w:pPr>
      <w:r>
        <w:rPr>
          <w:rFonts w:ascii="Times New Roman" w:cs="Times New Roman" w:eastAsia="Times New Roman" w:hAnsi="Times New Roman"/>
          <w:sz w:val="18"/>
          <w:szCs w:val="18"/>
          <w:color w:val="auto"/>
        </w:rPr>
        <w:t>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E. Lane, certify that:</w:t>
      </w:r>
    </w:p>
    <w:p>
      <w:pPr>
        <w:spacing w:after="0" w:line="115" w:lineRule="exact"/>
        <w:rPr>
          <w:sz w:val="20"/>
          <w:szCs w:val="20"/>
          <w:color w:val="auto"/>
        </w:rPr>
      </w:pPr>
    </w:p>
    <w:p>
      <w:pPr>
        <w:ind w:left="660" w:hanging="657"/>
        <w:spacing w:after="0" w:line="207" w:lineRule="exact"/>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Comfort Systems USA, Inc.;</w:t>
      </w:r>
    </w:p>
    <w:p>
      <w:pPr>
        <w:spacing w:after="0" w:line="172" w:lineRule="exact"/>
        <w:rPr>
          <w:rFonts w:ascii="Times New Roman" w:cs="Times New Roman" w:eastAsia="Times New Roman" w:hAnsi="Times New Roman"/>
          <w:sz w:val="18"/>
          <w:szCs w:val="18"/>
          <w:color w:val="auto"/>
        </w:rPr>
      </w:pPr>
    </w:p>
    <w:p>
      <w:pPr>
        <w:ind w:left="660" w:right="380" w:hanging="657"/>
        <w:spacing w:after="0" w:line="22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60" w:right="280" w:hanging="657"/>
        <w:spacing w:after="0" w:line="22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60" w:right="100" w:hanging="657"/>
        <w:spacing w:after="0" w:line="202" w:lineRule="exact"/>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6" w:lineRule="exact"/>
        <w:rPr>
          <w:rFonts w:ascii="Times New Roman" w:cs="Times New Roman" w:eastAsia="Times New Roman" w:hAnsi="Times New Roman"/>
          <w:sz w:val="18"/>
          <w:szCs w:val="18"/>
          <w:color w:val="auto"/>
        </w:rPr>
      </w:pPr>
    </w:p>
    <w:p>
      <w:pPr>
        <w:ind w:left="1300" w:right="120" w:hanging="649"/>
        <w:spacing w:after="0" w:line="220"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00" w:hanging="649"/>
        <w:spacing w:after="0" w:line="22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jc w:val="both"/>
        <w:ind w:left="660" w:right="420" w:hanging="657"/>
        <w:spacing w:after="0" w:line="22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00" w:right="40" w:hanging="649"/>
        <w:spacing w:after="0" w:line="22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300" w:right="220" w:hanging="649"/>
        <w:spacing w:after="0" w:line="237"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4540" w:right="3020" w:hanging="4537"/>
        <w:spacing w:after="0" w:line="236" w:lineRule="auto"/>
        <w:tabs>
          <w:tab w:leader="none" w:pos="4520" w:val="left"/>
        </w:tabs>
        <w:rPr>
          <w:sz w:val="20"/>
          <w:szCs w:val="20"/>
          <w:color w:val="auto"/>
        </w:rPr>
      </w:pPr>
      <w:r>
        <w:rPr>
          <w:rFonts w:ascii="Times New Roman" w:cs="Times New Roman" w:eastAsia="Times New Roman" w:hAnsi="Times New Roman"/>
          <w:sz w:val="18"/>
          <w:szCs w:val="18"/>
          <w:color w:val="auto"/>
        </w:rPr>
        <w:t>Date: February 21, 2019</w:t>
      </w:r>
      <w:r>
        <w:rPr>
          <w:sz w:val="20"/>
          <w:szCs w:val="20"/>
          <w:color w:val="auto"/>
        </w:rPr>
        <w:tab/>
      </w:r>
      <w:r>
        <w:rPr>
          <w:rFonts w:ascii="Times New Roman" w:cs="Times New Roman" w:eastAsia="Times New Roman" w:hAnsi="Times New Roman"/>
          <w:sz w:val="17"/>
          <w:szCs w:val="17"/>
          <w:color w:val="auto"/>
        </w:rPr>
        <w:t>/s/ BRIAN E. LANE Brian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-111760</wp:posOffset>
            </wp:positionV>
            <wp:extent cx="28727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30" w:lineRule="exact"/>
        <w:rPr>
          <w:sz w:val="20"/>
          <w:szCs w:val="20"/>
          <w:color w:val="auto"/>
        </w:rPr>
      </w:pPr>
    </w:p>
    <w:p>
      <w:pPr>
        <w:ind w:left="2565"/>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ind w:left="2565"/>
        <w:spacing w:after="0" w:line="207" w:lineRule="exact"/>
        <w:rPr>
          <w:sz w:val="20"/>
          <w:szCs w:val="20"/>
          <w:color w:val="auto"/>
        </w:rPr>
      </w:pPr>
      <w:r>
        <w:rPr>
          <w:rFonts w:ascii="Times New Roman" w:cs="Times New Roman" w:eastAsia="Times New Roman" w:hAnsi="Times New Roman"/>
          <w:sz w:val="18"/>
          <w:szCs w:val="18"/>
          <w:color w:val="auto"/>
        </w:rPr>
        <w:t>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w:t>
      </w:r>
    </w:p>
    <w:p>
      <w:pPr>
        <w:spacing w:after="0" w:line="13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 William George, certify that:</w:t>
      </w:r>
    </w:p>
    <w:p>
      <w:pPr>
        <w:spacing w:after="0" w:line="115" w:lineRule="exact"/>
        <w:rPr>
          <w:sz w:val="20"/>
          <w:szCs w:val="20"/>
          <w:color w:val="auto"/>
        </w:rPr>
      </w:pPr>
    </w:p>
    <w:p>
      <w:pPr>
        <w:ind w:left="645" w:hanging="645"/>
        <w:spacing w:after="0" w:line="207" w:lineRule="exact"/>
        <w:tabs>
          <w:tab w:leader="none" w:pos="6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Comfort Systems USA, Inc.;</w:t>
      </w:r>
    </w:p>
    <w:p>
      <w:pPr>
        <w:spacing w:after="0" w:line="172" w:lineRule="exact"/>
        <w:rPr>
          <w:rFonts w:ascii="Times New Roman" w:cs="Times New Roman" w:eastAsia="Times New Roman" w:hAnsi="Times New Roman"/>
          <w:sz w:val="18"/>
          <w:szCs w:val="18"/>
          <w:color w:val="auto"/>
        </w:rPr>
      </w:pPr>
    </w:p>
    <w:p>
      <w:pPr>
        <w:jc w:val="both"/>
        <w:ind w:left="645" w:right="220" w:hanging="645"/>
        <w:spacing w:after="0" w:line="226" w:lineRule="auto"/>
        <w:tabs>
          <w:tab w:leader="none" w:pos="6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45" w:right="180" w:hanging="645"/>
        <w:spacing w:after="0" w:line="226" w:lineRule="auto"/>
        <w:tabs>
          <w:tab w:leader="none" w:pos="6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left="645" w:right="100" w:hanging="645"/>
        <w:spacing w:after="0" w:line="202" w:lineRule="exact"/>
        <w:tabs>
          <w:tab w:leader="none" w:pos="6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6" w:lineRule="exact"/>
        <w:rPr>
          <w:rFonts w:ascii="Times New Roman" w:cs="Times New Roman" w:eastAsia="Times New Roman" w:hAnsi="Times New Roman"/>
          <w:sz w:val="18"/>
          <w:szCs w:val="18"/>
          <w:color w:val="auto"/>
        </w:rPr>
      </w:pPr>
    </w:p>
    <w:p>
      <w:pPr>
        <w:ind w:left="1305" w:right="140" w:hanging="657"/>
        <w:spacing w:after="0" w:line="220" w:lineRule="auto"/>
        <w:tabs>
          <w:tab w:leader="none" w:pos="13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305" w:right="160" w:hanging="657"/>
        <w:spacing w:after="0" w:line="220" w:lineRule="auto"/>
        <w:tabs>
          <w:tab w:leader="none" w:pos="13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05" w:right="40" w:hanging="657"/>
        <w:spacing w:after="0" w:line="226" w:lineRule="auto"/>
        <w:tabs>
          <w:tab w:leader="none" w:pos="13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305" w:right="220" w:hanging="657"/>
        <w:spacing w:after="0" w:line="220" w:lineRule="auto"/>
        <w:tabs>
          <w:tab w:leader="none" w:pos="13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645" w:right="220" w:hanging="645"/>
        <w:spacing w:after="0" w:line="226" w:lineRule="auto"/>
        <w:tabs>
          <w:tab w:leader="none" w:pos="6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05" w:right="120" w:hanging="657"/>
        <w:spacing w:after="0" w:line="226" w:lineRule="auto"/>
        <w:tabs>
          <w:tab w:leader="none" w:pos="13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305" w:right="60" w:hanging="657"/>
        <w:spacing w:after="0" w:line="237" w:lineRule="auto"/>
        <w:tabs>
          <w:tab w:leader="none" w:pos="13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4705" w:right="2900" w:hanging="4699"/>
        <w:spacing w:after="0" w:line="222" w:lineRule="auto"/>
        <w:tabs>
          <w:tab w:leader="none" w:pos="4685" w:val="left"/>
        </w:tabs>
        <w:rPr>
          <w:sz w:val="20"/>
          <w:szCs w:val="20"/>
          <w:color w:val="auto"/>
        </w:rPr>
      </w:pPr>
      <w:r>
        <w:rPr>
          <w:rFonts w:ascii="Times New Roman" w:cs="Times New Roman" w:eastAsia="Times New Roman" w:hAnsi="Times New Roman"/>
          <w:sz w:val="18"/>
          <w:szCs w:val="18"/>
          <w:color w:val="auto"/>
        </w:rPr>
        <w:t>Date: February 21, 2019</w:t>
      </w:r>
      <w:r>
        <w:rPr>
          <w:sz w:val="20"/>
          <w:szCs w:val="20"/>
          <w:color w:val="auto"/>
        </w:rPr>
        <w:tab/>
      </w:r>
      <w:r>
        <w:rPr>
          <w:rFonts w:ascii="Times New Roman" w:cs="Times New Roman" w:eastAsia="Times New Roman" w:hAnsi="Times New Roman"/>
          <w:sz w:val="18"/>
          <w:szCs w:val="18"/>
          <w:color w:val="auto"/>
        </w:rPr>
        <w:t>/s/ WILLIAM GEORGE William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-111125</wp:posOffset>
            </wp:positionV>
            <wp:extent cx="29756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705"/>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236220</wp:posOffset>
            </wp:positionV>
            <wp:extent cx="596011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04" w:right="1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196"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02" w:lineRule="exact"/>
        <w:rPr>
          <w:sz w:val="20"/>
          <w:szCs w:val="20"/>
          <w:color w:val="auto"/>
        </w:rPr>
      </w:pPr>
    </w:p>
    <w:p>
      <w:pPr>
        <w:ind w:right="100" w:firstLine="648"/>
        <w:spacing w:after="0" w:line="202" w:lineRule="exact"/>
        <w:rPr>
          <w:sz w:val="20"/>
          <w:szCs w:val="20"/>
          <w:color w:val="auto"/>
        </w:rPr>
      </w:pPr>
      <w:r>
        <w:rPr>
          <w:rFonts w:ascii="Times New Roman" w:cs="Times New Roman" w:eastAsia="Times New Roman" w:hAnsi="Times New Roman"/>
          <w:sz w:val="18"/>
          <w:szCs w:val="18"/>
          <w:color w:val="auto"/>
        </w:rPr>
        <w:t>In connection with the Annual Report of Comfort Systems USA,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31, 2018, as filed with the Securities and Exchange Commission on the date hereof (the “Report”), I, Brian E. Lane, President and Chief Executive Officer of the Company, certify, pursuant to 18 U.S.C.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w:t>
      </w:r>
    </w:p>
    <w:p>
      <w:pPr>
        <w:spacing w:after="0" w:line="99" w:lineRule="exact"/>
        <w:rPr>
          <w:sz w:val="20"/>
          <w:szCs w:val="20"/>
          <w:color w:val="auto"/>
        </w:rPr>
      </w:pPr>
    </w:p>
    <w:p>
      <w:pPr>
        <w:ind w:left="1300" w:right="140" w:hanging="649"/>
        <w:spacing w:after="0" w:line="237"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60" w:hanging="649"/>
        <w:spacing w:after="0" w:line="237"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left="4540" w:right="3020" w:hanging="4537"/>
        <w:spacing w:after="0" w:line="236" w:lineRule="auto"/>
        <w:tabs>
          <w:tab w:leader="none" w:pos="4520" w:val="left"/>
        </w:tabs>
        <w:rPr>
          <w:sz w:val="20"/>
          <w:szCs w:val="20"/>
          <w:color w:val="auto"/>
        </w:rPr>
      </w:pPr>
      <w:r>
        <w:rPr>
          <w:rFonts w:ascii="Times New Roman" w:cs="Times New Roman" w:eastAsia="Times New Roman" w:hAnsi="Times New Roman"/>
          <w:sz w:val="18"/>
          <w:szCs w:val="18"/>
          <w:color w:val="auto"/>
        </w:rPr>
        <w:t>Date: February 21, 2019</w:t>
      </w:r>
      <w:r>
        <w:rPr>
          <w:sz w:val="20"/>
          <w:szCs w:val="20"/>
          <w:color w:val="auto"/>
        </w:rPr>
        <w:tab/>
      </w:r>
      <w:r>
        <w:rPr>
          <w:rFonts w:ascii="Times New Roman" w:cs="Times New Roman" w:eastAsia="Times New Roman" w:hAnsi="Times New Roman"/>
          <w:sz w:val="17"/>
          <w:szCs w:val="17"/>
          <w:color w:val="auto"/>
        </w:rPr>
        <w:t>/s/ BRIAN E. LANE Brian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-111760</wp:posOffset>
            </wp:positionV>
            <wp:extent cx="28727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14408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8" w:lineRule="exact"/>
        <w:rPr>
          <w:sz w:val="20"/>
          <w:szCs w:val="20"/>
          <w:color w:val="auto"/>
        </w:rPr>
      </w:pPr>
    </w:p>
    <w:p>
      <w:pPr>
        <w:ind w:left="660" w:right="220" w:hanging="657"/>
        <w:spacing w:after="0" w:line="237" w:lineRule="auto"/>
        <w:tabs>
          <w:tab w:leader="none" w:pos="6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196"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02" w:lineRule="exact"/>
        <w:rPr>
          <w:sz w:val="20"/>
          <w:szCs w:val="20"/>
          <w:color w:val="auto"/>
        </w:rPr>
      </w:pPr>
    </w:p>
    <w:p>
      <w:pPr>
        <w:ind w:right="40" w:firstLine="648"/>
        <w:spacing w:after="0" w:line="202" w:lineRule="exact"/>
        <w:rPr>
          <w:sz w:val="20"/>
          <w:szCs w:val="20"/>
          <w:color w:val="auto"/>
        </w:rPr>
      </w:pPr>
      <w:r>
        <w:rPr>
          <w:rFonts w:ascii="Times New Roman" w:cs="Times New Roman" w:eastAsia="Times New Roman" w:hAnsi="Times New Roman"/>
          <w:sz w:val="18"/>
          <w:szCs w:val="18"/>
          <w:color w:val="auto"/>
        </w:rPr>
        <w:t>In connection with the Annual Report of Comfort Systems USA,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31, 2018, as filed with the Securities and Exchange Commission on the date hereof (the “Report”), I, William George, Executive Vice President and Chief Financial Officer of the Company, certify, pursuant to 18 U.S.C.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w:t>
      </w:r>
    </w:p>
    <w:p>
      <w:pPr>
        <w:spacing w:after="0" w:line="99" w:lineRule="exact"/>
        <w:rPr>
          <w:sz w:val="20"/>
          <w:szCs w:val="20"/>
          <w:color w:val="auto"/>
        </w:rPr>
      </w:pPr>
    </w:p>
    <w:p>
      <w:pPr>
        <w:ind w:left="1300" w:right="140" w:hanging="649"/>
        <w:spacing w:after="0" w:line="237"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60" w:hanging="649"/>
        <w:spacing w:after="0" w:line="237"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left="4540" w:right="2720" w:hanging="4537"/>
        <w:spacing w:after="0" w:line="222" w:lineRule="auto"/>
        <w:tabs>
          <w:tab w:leader="none" w:pos="4520" w:val="left"/>
        </w:tabs>
        <w:rPr>
          <w:sz w:val="20"/>
          <w:szCs w:val="20"/>
          <w:color w:val="auto"/>
        </w:rPr>
      </w:pPr>
      <w:r>
        <w:rPr>
          <w:rFonts w:ascii="Times New Roman" w:cs="Times New Roman" w:eastAsia="Times New Roman" w:hAnsi="Times New Roman"/>
          <w:sz w:val="18"/>
          <w:szCs w:val="18"/>
          <w:color w:val="auto"/>
        </w:rPr>
        <w:t>Date: February 21, 2019</w:t>
      </w:r>
      <w:r>
        <w:rPr>
          <w:sz w:val="20"/>
          <w:szCs w:val="20"/>
          <w:color w:val="auto"/>
        </w:rPr>
        <w:tab/>
      </w:r>
      <w:r>
        <w:rPr>
          <w:rFonts w:ascii="Times New Roman" w:cs="Times New Roman" w:eastAsia="Times New Roman" w:hAnsi="Times New Roman"/>
          <w:sz w:val="18"/>
          <w:szCs w:val="18"/>
          <w:color w:val="auto"/>
        </w:rPr>
        <w:t>/s/ WILLIAM GEORGE William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-111125</wp:posOffset>
            </wp:positionV>
            <wp:extent cx="28727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14408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8" w:lineRule="exact"/>
        <w:rPr>
          <w:sz w:val="20"/>
          <w:szCs w:val="20"/>
          <w:color w:val="auto"/>
        </w:rPr>
      </w:pPr>
    </w:p>
    <w:p>
      <w:pPr>
        <w:ind w:left="660" w:right="220" w:hanging="657"/>
        <w:spacing w:after="0" w:line="237" w:lineRule="auto"/>
        <w:tabs>
          <w:tab w:leader="none" w:pos="6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Roman"/>
      <w:start w:val="3"/>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Roman"/>
      <w:start w:val="2"/>
    </w:lvl>
  </w:abstractNum>
  <w:abstractNum w:abstractNumId="3">
    <w:nsid w:val="41A7C4C9"/>
    <w:multiLevelType w:val="hybridMultilevel"/>
    <w:lvl w:ilvl="0">
      <w:lvlJc w:val="left"/>
      <w:lvlText w:val="(%1)"/>
      <w:numFmt w:val="lowerRoman"/>
      <w:start w:val="6"/>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Roman"/>
      <w:start w:val="5"/>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emdash "/>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5"/>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lowerLetter"/>
      <w:start w:val="1"/>
    </w:lvl>
    <w:lvl w:ilvl="1">
      <w:lvlJc w:val="left"/>
      <w:lvlText w:val="(%2)"/>
      <w:numFmt w:val="decimal"/>
      <w:start w:val="1"/>
    </w:lvl>
  </w:abstractNum>
  <w:abstractNum w:abstractNumId="18">
    <w:nsid w:val="2D1D5AE9"/>
    <w:multiLevelType w:val="hybridMultilevel"/>
    <w:lvl w:ilvl="0">
      <w:lvlJc w:val="left"/>
      <w:lvlText w:val="(%1)"/>
      <w:numFmt w:val="lowerLetter"/>
      <w:start w:val="3"/>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47" Type="http://schemas.openxmlformats.org/officeDocument/2006/relationships/image" Target="media/image84.png"/><Relationship Id="rId148" Type="http://schemas.openxmlformats.org/officeDocument/2006/relationships/image" Target="media/image85.png"/><Relationship Id="rId149" Type="http://schemas.openxmlformats.org/officeDocument/2006/relationships/image" Target="media/image86.png"/><Relationship Id="rId150" Type="http://schemas.openxmlformats.org/officeDocument/2006/relationships/image" Target="media/image87.png"/><Relationship Id="rId151" Type="http://schemas.openxmlformats.org/officeDocument/2006/relationships/image" Target="media/image88.png"/><Relationship Id="rId152" Type="http://schemas.openxmlformats.org/officeDocument/2006/relationships/image" Target="media/image89.png"/><Relationship Id="rId153" Type="http://schemas.openxmlformats.org/officeDocument/2006/relationships/image" Target="media/image90.png"/><Relationship Id="rId154" Type="http://schemas.openxmlformats.org/officeDocument/2006/relationships/image" Target="media/image91.png"/><Relationship Id="rId155" Type="http://schemas.openxmlformats.org/officeDocument/2006/relationships/image" Target="media/image92.png"/><Relationship Id="rId156" Type="http://schemas.openxmlformats.org/officeDocument/2006/relationships/image" Target="media/image93.png"/><Relationship Id="rId157" Type="http://schemas.openxmlformats.org/officeDocument/2006/relationships/image" Target="media/image94.png"/><Relationship Id="rId158" Type="http://schemas.openxmlformats.org/officeDocument/2006/relationships/image" Target="media/image95.png"/><Relationship Id="rId159" Type="http://schemas.openxmlformats.org/officeDocument/2006/relationships/image" Target="media/image96.png"/><Relationship Id="rId160" Type="http://schemas.openxmlformats.org/officeDocument/2006/relationships/image" Target="media/image97.png"/><Relationship Id="rId161" Type="http://schemas.openxmlformats.org/officeDocument/2006/relationships/image" Target="media/image98.png"/><Relationship Id="rId162" Type="http://schemas.openxmlformats.org/officeDocument/2006/relationships/image" Target="media/image99.png"/><Relationship Id="rId163" Type="http://schemas.openxmlformats.org/officeDocument/2006/relationships/image" Target="media/image100.png"/><Relationship Id="rId164" Type="http://schemas.openxmlformats.org/officeDocument/2006/relationships/image" Target="media/image101.png"/><Relationship Id="rId91" Type="http://schemas.openxmlformats.org/officeDocument/2006/relationships/hyperlink" Target="http://www.sec.gov/Archives/edgar/data/1035983/0000890566-97-001319-index.html" TargetMode="External"/><Relationship Id="rId92" Type="http://schemas.openxmlformats.org/officeDocument/2006/relationships/hyperlink" Target="http://www.sec.gov/Archives/edgar/data/1035983/0000890566-99-000401-index.html" TargetMode="External"/><Relationship Id="rId93" Type="http://schemas.openxmlformats.org/officeDocument/2006/relationships/hyperlink" Target="http://www.sec.gov/Archives/edgar/data/1035983/000104746904005828/a2129426zex-3_3.htm" TargetMode="External"/><Relationship Id="rId94" Type="http://schemas.openxmlformats.org/officeDocument/2006/relationships/hyperlink" Target="http://www.sec.gov/Archives/edgar/data/1035983/000110465916122345/a16-10750_2ex3d1.htm" TargetMode="External"/><Relationship Id="rId95" Type="http://schemas.openxmlformats.org/officeDocument/2006/relationships/hyperlink" Target="http://www.sec.gov/Archives/edgar/data/1035983/000110465916107645/a16-7178_1ex3d1.htm" TargetMode="External"/><Relationship Id="rId96" Type="http://schemas.openxmlformats.org/officeDocument/2006/relationships/hyperlink" Target="http://www.sec.gov/Archives/edgar/data/1035983/0000890566-97-000536-index.html" TargetMode="External"/><Relationship Id="rId97" Type="http://schemas.openxmlformats.org/officeDocument/2006/relationships/hyperlink" Target="http://www.sec.gov/Archives/edgar/data/1035983/000095012902004151/h98970aexv10w3.txt" TargetMode="External"/><Relationship Id="rId98" Type="http://schemas.openxmlformats.org/officeDocument/2006/relationships/hyperlink" Target="http://www.sec.gov/Archives/edgar/data/1035983/000110465906070563/a06-18678_1ex4d5.htm" TargetMode="External"/><Relationship Id="rId99" Type="http://schemas.openxmlformats.org/officeDocument/2006/relationships/hyperlink" Target="http://www.sec.gov/Archives/edgar/data/1035983/000110465907015093/a07-5471_1ex10d6.htm" TargetMode="External"/><Relationship Id="rId100" Type="http://schemas.openxmlformats.org/officeDocument/2006/relationships/hyperlink" Target="http://www.sec.gov/Archives/edgar/data/1035983/000110465907015093/a07-5471_1ex10d7.htm" TargetMode="External"/><Relationship Id="rId101" Type="http://schemas.openxmlformats.org/officeDocument/2006/relationships/hyperlink" Target="http://www.sec.gov/Archives/edgar/data/1035983/000095012903003918/h07903exv10w1.txt" TargetMode="External"/><Relationship Id="rId102" Type="http://schemas.openxmlformats.org/officeDocument/2006/relationships/hyperlink" Target="http://www.sec.gov/Archives/edgar/data/1035983/000104746908004478/a2184426zdef14a.htm" TargetMode="External"/><Relationship Id="rId103" Type="http://schemas.openxmlformats.org/officeDocument/2006/relationships/hyperlink" Target="http://www.sec.gov/Archives/edgar/data/1035983/000104746908005698/a2185250zex-10_2.htm" TargetMode="External"/><Relationship Id="rId104" Type="http://schemas.openxmlformats.org/officeDocument/2006/relationships/hyperlink" Target="http://www.sec.gov/Archives/edgar/data/1035983/000104746908005698/a2185250zex-10_3.htm" TargetMode="External"/><Relationship Id="rId105" Type="http://schemas.openxmlformats.org/officeDocument/2006/relationships/hyperlink" Target="http://www.sec.gov/Archives/edgar/data/1035983/000110465909033654/a09-12567_2ex10d1.htm" TargetMode="External"/><Relationship Id="rId106" Type="http://schemas.openxmlformats.org/officeDocument/2006/relationships/hyperlink" Target="http://www.sec.gov/Archives/edgar/data/1035983/000110465910039133/a10-14233_1ex10d1.htm" TargetMode="External"/><Relationship Id="rId107" Type="http://schemas.openxmlformats.org/officeDocument/2006/relationships/hyperlink" Target="http://www.sec.gov/Archives/edgar/data/1035983/000110465910040867/a10-14873_1ex10d1.htm" TargetMode="External"/><Relationship Id="rId108" Type="http://schemas.openxmlformats.org/officeDocument/2006/relationships/hyperlink" Target="http://www.sec.gov/Archives/edgar/data/1035983/000104746911004482/a2203822zex-10_1.htm" TargetMode="External"/><Relationship Id="rId109" Type="http://schemas.openxmlformats.org/officeDocument/2006/relationships/hyperlink" Target="http://www.sec.gov/Archives/edgar/data/1035983/000110465911017163/a11-8794_1ex10d1.htm" TargetMode="External"/><Relationship Id="rId110" Type="http://schemas.openxmlformats.org/officeDocument/2006/relationships/hyperlink" Target="http://www.sec.gov/Archives/edgar/data/1035983/000104746911006852/a2205014zex-10_1.htm" TargetMode="External"/><Relationship Id="rId111" Type="http://schemas.openxmlformats.org/officeDocument/2006/relationships/hyperlink" Target="http://www.sec.gov/Archives/edgar/data/1035983/000104746911009144/a2206146zex-10_1.htm" TargetMode="External"/><Relationship Id="rId112" Type="http://schemas.openxmlformats.org/officeDocument/2006/relationships/hyperlink" Target="http://www.sec.gov/Archives/edgar/data/1035983/000104746912005259/a2209092zex-10_1.htm" TargetMode="External"/><Relationship Id="rId113" Type="http://schemas.openxmlformats.org/officeDocument/2006/relationships/hyperlink" Target="http://www.sec.gov/Archives/edgar/data/1035983/000110465912022874/a12-8439_1ex10d1.htm" TargetMode="External"/><Relationship Id="rId114" Type="http://schemas.openxmlformats.org/officeDocument/2006/relationships/hyperlink" Target="http://www.sec.gov/Archives/edgar/data/1035983/000110465912022874/a12-8439_1ex10d2.htm" TargetMode="External"/><Relationship Id="rId115" Type="http://schemas.openxmlformats.org/officeDocument/2006/relationships/hyperlink" Target="http://www.sec.gov/Archives/edgar/data/1035983/000104746912004050/a2208641zdef14a.htm" TargetMode="External"/><Relationship Id="rId116" Type="http://schemas.openxmlformats.org/officeDocument/2006/relationships/hyperlink" Target="http://www.sec.gov/Archives/edgar/data/1035983/000104746913005255/a2214704zex-10_1.htm" TargetMode="External"/><Relationship Id="rId117" Type="http://schemas.openxmlformats.org/officeDocument/2006/relationships/hyperlink" Target="http://www.sec.gov/Archives/edgar/data/1035983/000110465913023637/a13-7992_1ex10d1.htm" TargetMode="External"/><Relationship Id="rId118" Type="http://schemas.openxmlformats.org/officeDocument/2006/relationships/hyperlink" Target="http://www.sec.gov/Archives/edgar/data/1035983/000110465913023637/a13-7992_1ex10d2.htm" TargetMode="External"/><Relationship Id="rId119" Type="http://schemas.openxmlformats.org/officeDocument/2006/relationships/hyperlink" Target="http://www.sec.gov/Archives/edgar/data/1035983/000104746913007932/a2216107zex-10_1.htm" TargetMode="External"/><Relationship Id="rId120" Type="http://schemas.openxmlformats.org/officeDocument/2006/relationships/hyperlink" Target="http://www.sec.gov/Archives/edgar/data/1035983/000104746914001513/a2218454zex-10_28.htm" TargetMode="External"/><Relationship Id="rId121" Type="http://schemas.openxmlformats.org/officeDocument/2006/relationships/hyperlink" Target="http://www.sec.gov/Archives/edgar/data/1035983/000104746914001513/a2218454zex-10_29.htm" TargetMode="External"/><Relationship Id="rId122" Type="http://schemas.openxmlformats.org/officeDocument/2006/relationships/hyperlink" Target="http://www.sec.gov/Archives/edgar/data/1035983/000104746914004448/a2219822zex-10_1.htm" TargetMode="External"/><Relationship Id="rId123" Type="http://schemas.openxmlformats.org/officeDocument/2006/relationships/hyperlink" Target="http://www.sec.gov/Archives/edgar/data/1035983/000110465914021851/a14-8658_1ex10d1.htm" TargetMode="External"/><Relationship Id="rId124" Type="http://schemas.openxmlformats.org/officeDocument/2006/relationships/hyperlink" Target="http://www.sec.gov/Archives/edgar/data/1035983/000110465914021851/a14-8658_1ex10d2.htm" TargetMode="External"/><Relationship Id="rId125" Type="http://schemas.openxmlformats.org/officeDocument/2006/relationships/hyperlink" Target="http://www.sec.gov/Archives/edgar/data/1035983/000104746915001294/a2223211zex-10_33.htm" TargetMode="External"/><Relationship Id="rId126" Type="http://schemas.openxmlformats.org/officeDocument/2006/relationships/hyperlink" Target="http://www.sec.gov/Archives/edgar/data/1035983/000104746914008664/a2221896zex-10_1.htm" TargetMode="External"/><Relationship Id="rId127" Type="http://schemas.openxmlformats.org/officeDocument/2006/relationships/hyperlink" Target="http://www.sec.gov/Archives/edgar/data/1035983/000110465914026747/a14-10230_1ex10d1.htm" TargetMode="External"/><Relationship Id="rId128" Type="http://schemas.openxmlformats.org/officeDocument/2006/relationships/hyperlink" Target="http://www.sec.gov/Archives/edgar/data/1035983/000110465915025173/a15-8489_1ex10d1.htm" TargetMode="External"/><Relationship Id="rId129" Type="http://schemas.openxmlformats.org/officeDocument/2006/relationships/hyperlink" Target="http://www.sec.gov/Archives/edgar/data/1035983/000110465915025173/a15-8489_1ex10d2.htm" TargetMode="External"/><Relationship Id="rId130" Type="http://schemas.openxmlformats.org/officeDocument/2006/relationships/hyperlink" Target="http://www.sec.gov/Archives/edgar/data/1035983/000104746915004125/a2224431zex-10_1.htm" TargetMode="External"/><Relationship Id="rId131" Type="http://schemas.openxmlformats.org/officeDocument/2006/relationships/hyperlink" Target="http://www.sec.gov/Archives/edgar/data/1035983/000104746915008149/a2226337zex-10_1.htm" TargetMode="External"/><Relationship Id="rId132" Type="http://schemas.openxmlformats.org/officeDocument/2006/relationships/hyperlink" Target="http://www.sec.gov/Archives/edgar/data/1035983/000104746916010332/a2227387zex-10_40.htm" TargetMode="External"/><Relationship Id="rId133" Type="http://schemas.openxmlformats.org/officeDocument/2006/relationships/hyperlink" Target="http://www.sec.gov/Archives/edgar/data/1035983/000110465916107645/a16-7178_1ex10d1.htm" TargetMode="External"/><Relationship Id="rId134" Type="http://schemas.openxmlformats.org/officeDocument/2006/relationships/hyperlink" Target="http://www.sec.gov/Archives/edgar/data/1035983/000110465916107645/a16-7178_1ex10d2.htm" TargetMode="External"/><Relationship Id="rId135" Type="http://schemas.openxmlformats.org/officeDocument/2006/relationships/hyperlink" Target="http://www.sec.gov/Archives/edgar/data/1035983/000110465916107645/a16-7178_1ex10d3.htm" TargetMode="External"/><Relationship Id="rId136" Type="http://schemas.openxmlformats.org/officeDocument/2006/relationships/hyperlink" Target="http://www.sec.gov/Archives/edgar/data/1035983/000110465917001957/a17-1811_1ex10d1.htm" TargetMode="External"/><Relationship Id="rId137" Type="http://schemas.openxmlformats.org/officeDocument/2006/relationships/hyperlink" Target="http://www.sec.gov/Archives/edgar/data/1035983/000110465917011244/a17-7023_1ex2d1.htm" TargetMode="External"/><Relationship Id="rId138" Type="http://schemas.openxmlformats.org/officeDocument/2006/relationships/hyperlink" Target="http://www.sec.gov/Archives/edgar/data/1035983/000110465917020991/a17-10800_1ex10d1.htm" TargetMode="External"/><Relationship Id="rId139" Type="http://schemas.openxmlformats.org/officeDocument/2006/relationships/hyperlink" Target="http://www.sec.gov/Archives/edgar/data/1035983/000155837017002563/fix-20170523xdef14a.htm" TargetMode="External"/><Relationship Id="rId140" Type="http://schemas.openxmlformats.org/officeDocument/2006/relationships/hyperlink" Target="http://www.sec.gov/Archives/edgar/data/1035983/000155837017002931/fix-20170331ex102e9479d.htm" TargetMode="External"/><Relationship Id="rId141" Type="http://schemas.openxmlformats.org/officeDocument/2006/relationships/hyperlink" Target="http://www.sec.gov/Archives/edgar/data/1035983/000155837017002931/fix-20170331ex103bc199c.htm" TargetMode="External"/><Relationship Id="rId142" Type="http://schemas.openxmlformats.org/officeDocument/2006/relationships/hyperlink" Target="http://www.sec.gov/Archives/edgar/data/1035983/000155837017002931/fix-20170331ex104628293.htm" TargetMode="External"/><Relationship Id="rId143" Type="http://schemas.openxmlformats.org/officeDocument/2006/relationships/hyperlink" Target="http://www.sec.gov/Archives/edgar/data/1035983/000155837018003336/fix-20180331ex101c8a191.htm" TargetMode="External"/><Relationship Id="rId144" Type="http://schemas.openxmlformats.org/officeDocument/2006/relationships/hyperlink" Target="http://www.sec.gov/Archives/edgar/data/1035983/000155837018003336/fix-20180331ex102ce3cf4.htm" TargetMode="External"/><Relationship Id="rId145" Type="http://schemas.openxmlformats.org/officeDocument/2006/relationships/hyperlink" Target="http://www.sec.gov/Archives/edgar/data/1035983/000155837018003336/fix-20180331ex10323834b.htm" TargetMode="External"/><Relationship Id="rId146" Type="http://schemas.openxmlformats.org/officeDocument/2006/relationships/hyperlink" Target="http://www.sec.gov/Archives/edgar/data/1035983/000155837018005771/fix-20180630ex1010b4b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2019-12-28T15:59:16Z</dcterms:created>
  <dcterms:modified xsi:type="dcterms:W3CDTF">2019-12-28T15:59:16Z</dcterms:modified>
</cp:coreProperties>
</file>